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ГЛАМАЗДИНСКОГО СЕЛЬСОВЕТА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ХОМУТОВСКОГО РАЙОНА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7872B6" w:rsidRPr="00214062" w:rsidRDefault="00BC44C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от 20 января 2025 г. № 4</w:t>
      </w:r>
      <w:r w:rsidR="00565B9D" w:rsidRPr="00214062">
        <w:rPr>
          <w:rFonts w:ascii="Arial" w:hAnsi="Arial" w:cs="Arial"/>
          <w:b/>
          <w:bCs/>
          <w:color w:val="292D24"/>
          <w:sz w:val="32"/>
          <w:szCs w:val="32"/>
        </w:rPr>
        <w:t>-па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с</w:t>
      </w:r>
      <w:proofErr w:type="gram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.Г</w:t>
      </w:r>
      <w:proofErr w:type="gramEnd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ламаздино</w:t>
      </w:r>
      <w:proofErr w:type="spellEnd"/>
    </w:p>
    <w:p w:rsidR="004131D9" w:rsidRPr="00214062" w:rsidRDefault="004131D9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Об утверждении муниципальной программы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«Профилактика правонарушений на территории муниципального образования «</w:t>
      </w: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Гламаздинского</w:t>
      </w:r>
      <w:proofErr w:type="spellEnd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сельсовета» </w:t>
      </w: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Хомутовско</w:t>
      </w:r>
      <w:r w:rsidR="00565B9D" w:rsidRPr="00214062">
        <w:rPr>
          <w:rFonts w:ascii="Arial" w:hAnsi="Arial" w:cs="Arial"/>
          <w:b/>
          <w:bCs/>
          <w:color w:val="292D24"/>
          <w:sz w:val="32"/>
          <w:szCs w:val="32"/>
        </w:rPr>
        <w:t>го</w:t>
      </w:r>
      <w:proofErr w:type="spellEnd"/>
      <w:r w:rsidR="00565B9D"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 на 202</w:t>
      </w:r>
      <w:r w:rsidR="005B67C7" w:rsidRPr="00214062">
        <w:rPr>
          <w:rFonts w:ascii="Arial" w:hAnsi="Arial" w:cs="Arial"/>
          <w:b/>
          <w:bCs/>
          <w:color w:val="292D24"/>
          <w:sz w:val="32"/>
          <w:szCs w:val="32"/>
        </w:rPr>
        <w:t>5</w:t>
      </w: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– 202</w:t>
      </w:r>
      <w:r w:rsidR="005B67C7" w:rsidRPr="00214062">
        <w:rPr>
          <w:rFonts w:ascii="Arial" w:hAnsi="Arial" w:cs="Arial"/>
          <w:b/>
          <w:bCs/>
          <w:color w:val="292D24"/>
          <w:sz w:val="32"/>
          <w:szCs w:val="32"/>
        </w:rPr>
        <w:t>7</w:t>
      </w: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годы»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области, принятой Концепцией реформирования бюджетного планирования Российской Федерации, Администрация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области</w:t>
      </w:r>
      <w:proofErr w:type="gramStart"/>
      <w:r w:rsidRPr="00214062">
        <w:rPr>
          <w:rFonts w:ascii="Arial" w:hAnsi="Arial" w:cs="Arial"/>
          <w:color w:val="292D24"/>
          <w:sz w:val="24"/>
          <w:szCs w:val="24"/>
        </w:rPr>
        <w:t>,</w:t>
      </w:r>
      <w:r w:rsidR="00214062">
        <w:rPr>
          <w:rFonts w:ascii="Arial" w:hAnsi="Arial" w:cs="Arial"/>
          <w:color w:val="292D24"/>
          <w:sz w:val="24"/>
          <w:szCs w:val="24"/>
        </w:rPr>
        <w:t>п</w:t>
      </w:r>
      <w:proofErr w:type="gramEnd"/>
      <w:r w:rsidR="00214062">
        <w:rPr>
          <w:rFonts w:ascii="Arial" w:hAnsi="Arial" w:cs="Arial"/>
          <w:color w:val="292D24"/>
          <w:sz w:val="24"/>
          <w:szCs w:val="24"/>
        </w:rPr>
        <w:t>остановляет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>: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565B9D"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202</w:t>
      </w:r>
      <w:r w:rsidR="005B67C7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2</w:t>
      </w:r>
      <w:r w:rsidR="005B67C7" w:rsidRPr="00214062">
        <w:rPr>
          <w:rFonts w:ascii="Arial" w:hAnsi="Arial" w:cs="Arial"/>
          <w:color w:val="000000"/>
          <w:sz w:val="24"/>
          <w:szCs w:val="24"/>
        </w:rPr>
        <w:t>7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годы» (далее – Программа).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2</w:t>
      </w:r>
      <w:r w:rsidR="004131D9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4131D9" w:rsidRPr="00214062">
        <w:rPr>
          <w:rFonts w:ascii="Arial" w:hAnsi="Arial" w:cs="Arial"/>
          <w:color w:val="000000"/>
          <w:sz w:val="24"/>
          <w:szCs w:val="24"/>
        </w:rPr>
        <w:t>7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годы» подлежат ежегодной корректировке мероприятия и объемы их финансирования с учетом возможностей средств бюджета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в сети Интернет.</w:t>
      </w:r>
    </w:p>
    <w:p w:rsidR="007872B6" w:rsidRPr="00214062" w:rsidRDefault="007872B6" w:rsidP="00214062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5. Постановление вступа</w:t>
      </w:r>
      <w:r w:rsidR="00780A35">
        <w:rPr>
          <w:rFonts w:ascii="Arial" w:hAnsi="Arial" w:cs="Arial"/>
          <w:color w:val="000000"/>
          <w:sz w:val="24"/>
          <w:szCs w:val="24"/>
        </w:rPr>
        <w:t>ет в силу со дня его подписания</w:t>
      </w:r>
      <w:bookmarkStart w:id="0" w:name="_GoBack"/>
      <w:bookmarkEnd w:id="0"/>
      <w:r w:rsidRPr="00214062">
        <w:rPr>
          <w:rFonts w:ascii="Arial" w:hAnsi="Arial" w:cs="Arial"/>
          <w:color w:val="000000"/>
          <w:sz w:val="24"/>
          <w:szCs w:val="24"/>
        </w:rPr>
        <w:t xml:space="preserve"> и распространяется на правоотн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ошения, возникшие с 1 января 202</w:t>
      </w:r>
      <w:r w:rsidR="005B67C7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</w:rPr>
      </w:pPr>
      <w:r w:rsidRPr="0021406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Pr="00214062">
        <w:rPr>
          <w:rFonts w:ascii="Arial" w:hAnsi="Arial" w:cs="Arial"/>
          <w:color w:val="292D24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292D24"/>
          <w:sz w:val="24"/>
          <w:szCs w:val="24"/>
        </w:rPr>
        <w:t xml:space="preserve"> сельсовета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</w:rPr>
      </w:pPr>
      <w:proofErr w:type="spellStart"/>
      <w:r w:rsidRPr="00214062">
        <w:rPr>
          <w:rFonts w:ascii="Arial" w:hAnsi="Arial" w:cs="Arial"/>
          <w:color w:val="292D24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292D24"/>
          <w:sz w:val="24"/>
          <w:szCs w:val="24"/>
        </w:rPr>
        <w:t xml:space="preserve"> района</w:t>
      </w:r>
      <w:r w:rsidR="00214062">
        <w:rPr>
          <w:rFonts w:ascii="Arial" w:hAnsi="Arial" w:cs="Arial"/>
          <w:color w:val="292D24"/>
          <w:sz w:val="24"/>
          <w:szCs w:val="24"/>
        </w:rPr>
        <w:t xml:space="preserve"> Курской области                             </w:t>
      </w:r>
      <w:proofErr w:type="spellStart"/>
      <w:r w:rsidR="00214062" w:rsidRPr="00214062">
        <w:rPr>
          <w:rFonts w:ascii="Arial" w:hAnsi="Arial" w:cs="Arial"/>
          <w:color w:val="292D24"/>
          <w:sz w:val="24"/>
          <w:szCs w:val="24"/>
        </w:rPr>
        <w:t>О.А.Козодаева</w:t>
      </w:r>
      <w:proofErr w:type="spellEnd"/>
    </w:p>
    <w:p w:rsidR="007872B6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P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</w:p>
    <w:p w:rsid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="002140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BC44C6" w:rsidRPr="00214062" w:rsidRDefault="00214062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» января 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>20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25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 xml:space="preserve"> № 4-па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»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Муниципальная программа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«Профилактика правонарушений на территории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proofErr w:type="spellStart"/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proofErr w:type="spellEnd"/>
      <w:r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сельсовета» </w:t>
      </w:r>
      <w:proofErr w:type="spellStart"/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7872B6" w:rsidRPr="00214062" w:rsidRDefault="00565B9D" w:rsidP="00214062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на 202</w:t>
      </w:r>
      <w:r w:rsidR="004131D9" w:rsidRPr="00214062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7872B6"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– 202</w:t>
      </w:r>
      <w:r w:rsidR="004131D9" w:rsidRPr="00214062"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="007872B6"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0FE6" w:rsidRDefault="00E70FE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4062" w:rsidRP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Паспорт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«Профилактика правонарушений на территории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Гламаздинского</w:t>
      </w:r>
      <w:proofErr w:type="spellEnd"/>
      <w:r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сельсовета» </w:t>
      </w:r>
      <w:proofErr w:type="spellStart"/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Хомутовско</w:t>
      </w:r>
      <w:r w:rsidR="00565B9D" w:rsidRPr="00214062">
        <w:rPr>
          <w:rFonts w:ascii="Arial" w:hAnsi="Arial" w:cs="Arial"/>
          <w:b/>
          <w:bCs/>
          <w:color w:val="000000"/>
          <w:sz w:val="28"/>
          <w:szCs w:val="28"/>
        </w:rPr>
        <w:t>го</w:t>
      </w:r>
      <w:proofErr w:type="spellEnd"/>
      <w:r w:rsidR="00565B9D"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на 202</w:t>
      </w:r>
      <w:r w:rsidR="004131D9" w:rsidRPr="00214062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565B9D"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– 202</w:t>
      </w:r>
      <w:r w:rsidR="004131D9" w:rsidRPr="00214062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годы»</w:t>
      </w:r>
    </w:p>
    <w:tbl>
      <w:tblPr>
        <w:tblW w:w="946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6557"/>
      </w:tblGrid>
      <w:tr w:rsidR="007872B6" w:rsidRPr="00214062">
        <w:trPr>
          <w:trHeight w:val="34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565B9D"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before="15" w:after="15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before="15" w:after="15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Совет профилактики Администрации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before="15" w:after="15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Создание многоуровневой системы профилактики правонарушений на территории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before="15" w:after="15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ресоциализацию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лиц, освободившихся из мест лишения свободы.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3.Совершенствование нормативной правовой базы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 по профилактике правонарушений.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6.Повышение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1.организационные мероприятия.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2.нормативное правовое обеспечение деятельности по профилактике правонарушений.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>ьная Программа реализуется в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4. Количество лиц, совершивших преступления в составе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организованных преступных групп.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Управление Программой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Управление Программой осуществляет 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214062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1.Повышение эффективности системы социальной профилактики правонарушений;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4. Оздоровление </w:t>
            </w:r>
            <w:proofErr w:type="gramStart"/>
            <w:r w:rsidRPr="00214062">
              <w:rPr>
                <w:rFonts w:ascii="Arial" w:hAnsi="Arial" w:cs="Arial"/>
                <w:sz w:val="24"/>
                <w:szCs w:val="24"/>
              </w:rPr>
              <w:t>криминогенной обстановки</w:t>
            </w:r>
            <w:proofErr w:type="gramEnd"/>
            <w:r w:rsidRPr="00214062">
              <w:rPr>
                <w:rFonts w:ascii="Arial" w:hAnsi="Arial" w:cs="Arial"/>
                <w:sz w:val="24"/>
                <w:szCs w:val="24"/>
              </w:rPr>
              <w:t xml:space="preserve"> на потребительском рынке, улицах и других общественных местах;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5. Повышение уровня доверия населения к правоохранительным органам. </w:t>
            </w:r>
          </w:p>
        </w:tc>
      </w:tr>
      <w:tr w:rsidR="007872B6" w:rsidRPr="00214062">
        <w:tblPrEx>
          <w:tblCellSpacing w:w="-10" w:type="nil"/>
        </w:tblPrEx>
        <w:trPr>
          <w:trHeight w:val="315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062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062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осуществляют: Собрание депутатов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области, 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I. Содержание проблемы и обоснование необходимости ее решения программными методами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 xml:space="preserve">В целях формирования на территории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 (далее –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офилактики правонарушений на 202</w:t>
      </w:r>
      <w:r w:rsidR="004131D9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>– 202</w:t>
      </w:r>
      <w:r w:rsidR="004131D9" w:rsidRPr="00214062">
        <w:rPr>
          <w:rFonts w:ascii="Arial" w:hAnsi="Arial" w:cs="Arial"/>
          <w:color w:val="000000"/>
          <w:sz w:val="24"/>
          <w:szCs w:val="24"/>
        </w:rPr>
        <w:t>7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и правового воспитания, профилактики правонарушений.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</w:t>
      </w:r>
      <w:r w:rsidR="002140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Гламаздинском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</w:t>
      </w:r>
      <w:r w:rsidRPr="00214062">
        <w:rPr>
          <w:rFonts w:ascii="Arial" w:hAnsi="Arial" w:cs="Arial"/>
          <w:color w:val="000000"/>
          <w:sz w:val="24"/>
          <w:szCs w:val="24"/>
        </w:rPr>
        <w:lastRenderedPageBreak/>
        <w:t xml:space="preserve">деятельности, социальных конфликтов и других правонарушений. Деятельность правоохранительных органов и Администрации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 (далее – Администрация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Однако, несмотря на предпринимаемые меры, безопасность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из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наиболее приоритетных. При этом проблемы безопасности населения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должны решаться программными методами.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 xml:space="preserve">В целях создания на территории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офилактики правонарушений на 202</w:t>
      </w:r>
      <w:r w:rsidR="00E70FE6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>-202</w:t>
      </w:r>
      <w:r w:rsidR="00E70FE6" w:rsidRPr="00214062">
        <w:rPr>
          <w:rFonts w:ascii="Arial" w:hAnsi="Arial" w:cs="Arial"/>
          <w:color w:val="000000"/>
          <w:sz w:val="24"/>
          <w:szCs w:val="24"/>
        </w:rPr>
        <w:t>7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годы, которая позволит </w:t>
      </w: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II. Основные цели и задачи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Основными задачами Программы являются: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ресоциализацию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лиц, освободившихся из мест лишения свободы;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совершенствование нормативной правовой базы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по профилактике правонарушений;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III. Сроки и этапы реализации Программы</w:t>
      </w:r>
    </w:p>
    <w:p w:rsidR="007872B6" w:rsidRPr="00214062" w:rsidRDefault="004131D9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Программа реализуется в 2025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 xml:space="preserve"> – 202</w:t>
      </w:r>
      <w:r w:rsidRPr="00214062">
        <w:rPr>
          <w:rFonts w:ascii="Arial" w:hAnsi="Arial" w:cs="Arial"/>
          <w:color w:val="000000"/>
          <w:sz w:val="24"/>
          <w:szCs w:val="24"/>
        </w:rPr>
        <w:t>7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 xml:space="preserve"> годах. Мероприятия Программы будут </w:t>
      </w:r>
      <w:proofErr w:type="gramStart"/>
      <w:r w:rsidR="007872B6" w:rsidRPr="00214062">
        <w:rPr>
          <w:rFonts w:ascii="Arial" w:hAnsi="Arial" w:cs="Arial"/>
          <w:color w:val="000000"/>
          <w:sz w:val="24"/>
          <w:szCs w:val="24"/>
        </w:rPr>
        <w:t>выполнятся</w:t>
      </w:r>
      <w:proofErr w:type="gramEnd"/>
      <w:r w:rsidR="007872B6" w:rsidRPr="00214062">
        <w:rPr>
          <w:rFonts w:ascii="Arial" w:hAnsi="Arial" w:cs="Arial"/>
          <w:color w:val="000000"/>
          <w:sz w:val="24"/>
          <w:szCs w:val="24"/>
        </w:rPr>
        <w:t xml:space="preserve"> в соответствии с установленными сроками.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IV. Сведения о показателях и индикаторах 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Показатели (индикаторы) реализации муниципальной программы: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4. Количество лиц, совершивших преступления в составе организованных преступных групп.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Система показателей (индикаторов) сформирована с учетом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обеспечения возможности подтверждения достижения цели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и решения задач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proofErr w:type="spellStart"/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Гламаздинский</w:t>
      </w:r>
      <w:proofErr w:type="spellEnd"/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сельсовет» </w:t>
      </w:r>
      <w:proofErr w:type="spellStart"/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Хомутовского</w:t>
      </w:r>
      <w:proofErr w:type="spellEnd"/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района Курской области»</w:t>
      </w:r>
      <w:r w:rsidR="00565B9D"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Перечень мероприятий по реализаци</w:t>
      </w:r>
      <w:r w:rsidR="00565B9D" w:rsidRPr="00214062">
        <w:rPr>
          <w:rFonts w:ascii="Arial" w:hAnsi="Arial" w:cs="Arial"/>
          <w:b/>
          <w:bCs/>
          <w:color w:val="000000"/>
          <w:sz w:val="30"/>
          <w:szCs w:val="30"/>
        </w:rPr>
        <w:t>и муниципальной программы на 202</w:t>
      </w:r>
      <w:r w:rsidR="00027EFB" w:rsidRPr="00214062">
        <w:rPr>
          <w:rFonts w:ascii="Arial" w:hAnsi="Arial" w:cs="Arial"/>
          <w:b/>
          <w:bCs/>
          <w:color w:val="000000"/>
          <w:sz w:val="30"/>
          <w:szCs w:val="30"/>
        </w:rPr>
        <w:t>5</w:t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– 202</w:t>
      </w:r>
      <w:r w:rsidR="00027EFB" w:rsidRPr="00214062">
        <w:rPr>
          <w:rFonts w:ascii="Arial" w:hAnsi="Arial" w:cs="Arial"/>
          <w:b/>
          <w:bCs/>
          <w:color w:val="000000"/>
          <w:sz w:val="30"/>
          <w:szCs w:val="30"/>
        </w:rPr>
        <w:t>7</w:t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гг.</w:t>
      </w:r>
    </w:p>
    <w:tbl>
      <w:tblPr>
        <w:tblW w:w="100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1685"/>
        <w:gridCol w:w="1564"/>
        <w:gridCol w:w="707"/>
        <w:gridCol w:w="857"/>
        <w:gridCol w:w="707"/>
        <w:gridCol w:w="707"/>
        <w:gridCol w:w="857"/>
        <w:gridCol w:w="1278"/>
        <w:gridCol w:w="1014"/>
      </w:tblGrid>
      <w:tr w:rsidR="007872B6" w:rsidRPr="00214062" w:rsidTr="004131D9"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062" w:rsidRDefault="007872B6" w:rsidP="00214062">
            <w:pPr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br/>
            </w:r>
          </w:p>
          <w:p w:rsidR="007872B6" w:rsidRPr="00214062" w:rsidRDefault="007872B6" w:rsidP="00214062">
            <w:pPr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финансирования, направления расходов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В т. ч. по годам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before="15" w:after="15" w:line="341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31D9" w:rsidRPr="0021406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31D9" w:rsidRPr="0021406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31D9" w:rsidRPr="0021406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Участие в районных мероприятиях по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актуальным проблемам профилактики правонарушений на темы: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- о реабилитации несовершеннолетних же</w:t>
            </w:r>
            <w:proofErr w:type="gramStart"/>
            <w:r w:rsidRPr="00214062">
              <w:rPr>
                <w:rFonts w:ascii="Arial" w:hAnsi="Arial" w:cs="Arial"/>
                <w:sz w:val="24"/>
                <w:szCs w:val="24"/>
              </w:rPr>
              <w:t>ртв пр</w:t>
            </w:r>
            <w:proofErr w:type="gramEnd"/>
            <w:r w:rsidRPr="00214062">
              <w:rPr>
                <w:rFonts w:ascii="Arial" w:hAnsi="Arial" w:cs="Arial"/>
                <w:sz w:val="24"/>
                <w:szCs w:val="24"/>
              </w:rPr>
              <w:t>авонарушений и преступлений;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- об организации комплексной помощи семьям и несовершеннолетним, </w:t>
            </w:r>
            <w:proofErr w:type="gramStart"/>
            <w:r w:rsidRPr="00214062">
              <w:rPr>
                <w:rFonts w:ascii="Arial" w:hAnsi="Arial" w:cs="Arial"/>
                <w:sz w:val="24"/>
                <w:szCs w:val="24"/>
              </w:rPr>
              <w:t>находящихся</w:t>
            </w:r>
            <w:proofErr w:type="gramEnd"/>
            <w:r w:rsidRPr="00214062">
              <w:rPr>
                <w:rFonts w:ascii="Arial" w:hAnsi="Arial" w:cs="Arial"/>
                <w:sz w:val="24"/>
                <w:szCs w:val="24"/>
              </w:rPr>
              <w:t xml:space="preserve"> в социально опасном положении.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B9D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полиции, 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филиал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Малеевск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СДК,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Гламаздинская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СОШ,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Повышение профессиональн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ой компетентности специалистов образовательных учреждений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Ведение банка данных семей, находящихся в социально опасном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положении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Анализ и прогнозирование работы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по оказанию своевременной помощи семьям и несовершеннолетним 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B9D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</w:p>
          <w:p w:rsidR="00E70FE6" w:rsidRPr="00214062" w:rsidRDefault="00E70FE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Филиал</w:t>
            </w:r>
          </w:p>
          <w:p w:rsidR="007872B6" w:rsidRPr="00214062" w:rsidRDefault="007872B6" w:rsidP="00214062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Малеевск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E70FE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proofErr w:type="spellStart"/>
            <w:r w:rsidR="007872B6" w:rsidRPr="00214062">
              <w:rPr>
                <w:rFonts w:ascii="Arial" w:hAnsi="Arial" w:cs="Arial"/>
                <w:sz w:val="24"/>
                <w:szCs w:val="24"/>
              </w:rPr>
              <w:t>Малеевск</w:t>
            </w:r>
            <w:r w:rsidRPr="0021406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Проведение просветительской работы в образовательных учреждениях, направленной на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предупреждение алкоголизма, наркомании,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>, распространения ВИЧ-инфекции в форме лекций, бесед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ФАП,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Стрекаловский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ФАП,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полиции, 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выявлению нарушений гражданами Российской Федерации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правил регистрации по месту пребывания и по месту жительства.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социальной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rHeight w:val="1065"/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5-2027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участковый уполномоченный полиции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Обнародование информации по проблемам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и алкоголизма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0,0,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о заболеваниях, развивающихся в результате злоупотребления алкогольной продукции и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ФАП,</w:t>
            </w:r>
            <w:r w:rsidR="002140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Стрекаловский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ФАП,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проведения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Администр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 xml:space="preserve">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Малеевск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Повыше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ние эффективности системы социальной профилактики правонарушений</w:t>
            </w:r>
          </w:p>
        </w:tc>
      </w:tr>
      <w:tr w:rsidR="007872B6" w:rsidRPr="00214062" w:rsidTr="004131D9">
        <w:tblPrEx>
          <w:tblCellSpacing w:w="-10" w:type="nil"/>
        </w:tblPrEx>
        <w:trPr>
          <w:trHeight w:val="210"/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Обеспечение неукоснительного исполнения законодательства по обеспечению трудоустройства осужденных к исправительным и обязательным работам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>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Трудоустройство лиц, осужденных к исправительным и обязательным работам</w:t>
            </w:r>
          </w:p>
        </w:tc>
      </w:tr>
      <w:tr w:rsidR="007872B6" w:rsidRPr="00214062" w:rsidTr="004131D9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Правовое просвещение и правовое информирование путем доведения до 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социальной рекламы)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10,0 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10,0 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Малеевск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062">
              <w:rPr>
                <w:rFonts w:ascii="Arial" w:hAnsi="Arial" w:cs="Arial"/>
                <w:sz w:val="24"/>
                <w:szCs w:val="24"/>
              </w:rPr>
              <w:t>СДК</w:t>
            </w:r>
            <w:proofErr w:type="gramStart"/>
            <w:r w:rsidRPr="00214062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214062">
              <w:rPr>
                <w:rFonts w:ascii="Arial" w:hAnsi="Arial" w:cs="Arial"/>
                <w:sz w:val="24"/>
                <w:szCs w:val="24"/>
              </w:rPr>
              <w:t>ламаздинская</w:t>
            </w:r>
            <w:proofErr w:type="spellEnd"/>
            <w:r w:rsidRPr="00214062">
              <w:rPr>
                <w:rFonts w:ascii="Arial" w:hAnsi="Arial" w:cs="Arial"/>
                <w:sz w:val="24"/>
                <w:szCs w:val="24"/>
              </w:rPr>
              <w:t xml:space="preserve"> СОШ,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Повышение эффективности системы социаль</w:t>
            </w:r>
            <w:r w:rsidRPr="00214062">
              <w:rPr>
                <w:rFonts w:ascii="Arial" w:hAnsi="Arial" w:cs="Arial"/>
                <w:sz w:val="24"/>
                <w:szCs w:val="24"/>
              </w:rPr>
              <w:lastRenderedPageBreak/>
              <w:t>ной профилактики правонарушений</w:t>
            </w:r>
          </w:p>
        </w:tc>
      </w:tr>
    </w:tbl>
    <w:p w:rsidR="007872B6" w:rsidRPr="00214062" w:rsidRDefault="007872B6" w:rsidP="00214062">
      <w:pPr>
        <w:shd w:val="clear" w:color="auto" w:fill="F8FAFB"/>
        <w:spacing w:before="195" w:after="195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</w:rPr>
      </w:pPr>
      <w:r w:rsidRPr="0021406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br/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VI. Обоснование объема финансовых ресурсов, необходимых для реализации муниципальной программы</w:t>
      </w:r>
    </w:p>
    <w:tbl>
      <w:tblPr>
        <w:tblW w:w="950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7872B6" w:rsidRPr="00214062">
        <w:trPr>
          <w:trHeight w:val="33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7872B6" w:rsidRPr="00214062" w:rsidRDefault="007872B6" w:rsidP="00214062">
            <w:pPr>
              <w:spacing w:before="195"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7872B6" w:rsidRPr="00214062" w:rsidRDefault="007872B6" w:rsidP="00214062">
            <w:pPr>
              <w:spacing w:before="195"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Раздел VII. Организация управления и </w:t>
      </w:r>
      <w:proofErr w:type="gramStart"/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контроль за</w:t>
      </w:r>
      <w:proofErr w:type="gramEnd"/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ходом реализации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до 1 февраля года, следующего за отчетным календарным годом.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IX. Сведения об основных мерах правового регулирования в сфере реализации 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 в сфере ее реализации.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X. Прогноз сводных показателей муниципальных заданий по этапам реализации 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XI. Обобщенная характеристика основных мероприятий, реализуемых муниципальным образованием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Муниципальная программа реализуется Администрацией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своевременное внесение изменений в муниципальную программу;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реализацией муниципальной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XIII. Методика оценки эффективности муниципальной программы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где: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– степень достижения i – показателя муниципальной программы (процентов);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Tfi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– фактическое значение показателя;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TNi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– установленное муниципальной программой целевое значение показателя.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E - результативность реализации муниципальной программы (процентов);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n - количество показателей муниципальной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устанавливаются следующие критерии: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Расчет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степени соответствия фактических затрат средств местного бюджета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на реализацию муниципальной программы запланированному уровню производится по следующей формуле: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– полнота использования средств местного бюджета;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</w:t>
      </w: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реализацию муниципальной программы запланированному уровню оценивается как удовлетворительная;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Э – эффективность использования средств местного бюджета;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– показатель полноты использования средств местного бюджета;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E – показатель результативности реализации муниципальной программы.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 xml:space="preserve"> Э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 xml:space="preserve"> Э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меньше 1, то такая эффективность оценивается как высокая;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214062">
        <w:rPr>
          <w:rFonts w:ascii="Arial" w:hAnsi="Arial" w:cs="Arial"/>
          <w:color w:val="000000"/>
          <w:sz w:val="24"/>
          <w:szCs w:val="24"/>
        </w:rPr>
        <w:t xml:space="preserve"> Э</w:t>
      </w:r>
      <w:proofErr w:type="gramEnd"/>
      <w:r w:rsidRPr="00214062">
        <w:rPr>
          <w:rFonts w:ascii="Arial" w:hAnsi="Arial" w:cs="Arial"/>
          <w:color w:val="000000"/>
          <w:sz w:val="24"/>
          <w:szCs w:val="24"/>
        </w:rPr>
        <w:t xml:space="preserve"> больше 1, то такая эффективность оценивается как низкая.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Default="007872B6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к муниципальной программе муниципального образования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«Профилактика правонарушений на территории</w:t>
      </w: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</w:p>
    <w:p w:rsidR="007872B6" w:rsidRDefault="007872B6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Pr="0021406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214062">
        <w:rPr>
          <w:rFonts w:ascii="Arial" w:hAnsi="Arial" w:cs="Arial"/>
          <w:color w:val="000000"/>
          <w:sz w:val="24"/>
          <w:szCs w:val="24"/>
        </w:rPr>
        <w:t xml:space="preserve"> района Курской области»</w:t>
      </w: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214062">
      <w:pPr>
        <w:shd w:val="clear" w:color="auto" w:fill="F8FAFB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214062">
      <w:pPr>
        <w:shd w:val="clear" w:color="auto" w:fill="F8FAFB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Сведения о показателях (индикаторах) муниципальной программы муниципального образования «</w:t>
      </w: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Гламаздинского</w:t>
      </w:r>
      <w:proofErr w:type="spellEnd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</w:t>
      </w: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Хомутовского</w:t>
      </w:r>
      <w:proofErr w:type="spellEnd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 «Профилактика правонарушений на территории муниципального образования «</w:t>
      </w: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Гламаздинского</w:t>
      </w:r>
      <w:proofErr w:type="spellEnd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</w:t>
      </w:r>
      <w:proofErr w:type="spellStart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Хомутовского</w:t>
      </w:r>
      <w:proofErr w:type="spellEnd"/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области»</w:t>
      </w:r>
    </w:p>
    <w:tbl>
      <w:tblPr>
        <w:tblW w:w="912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009"/>
        <w:gridCol w:w="1429"/>
        <w:gridCol w:w="812"/>
        <w:gridCol w:w="707"/>
        <w:gridCol w:w="692"/>
      </w:tblGrid>
      <w:tr w:rsidR="007872B6" w:rsidRPr="00214062" w:rsidTr="000D3A48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</w:t>
            </w:r>
            <w:proofErr w:type="gramEnd"/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50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t>Наименование </w:t>
            </w: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br/>
              <w:t>показателя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t>Единица измерения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t>Значение показателей по годам</w:t>
            </w:r>
          </w:p>
        </w:tc>
      </w:tr>
      <w:tr w:rsidR="007872B6" w:rsidRPr="00214062" w:rsidTr="000D3A48">
        <w:tblPrEx>
          <w:tblCellSpacing w:w="-10" w:type="nil"/>
        </w:tblPrEx>
        <w:trPr>
          <w:tblCellSpacing w:w="-10" w:type="nil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565B9D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7</w:t>
            </w:r>
          </w:p>
        </w:tc>
      </w:tr>
      <w:tr w:rsidR="007872B6" w:rsidRPr="00214062" w:rsidTr="000D3A48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1,0</w:t>
            </w:r>
          </w:p>
        </w:tc>
      </w:tr>
      <w:tr w:rsidR="007872B6" w:rsidRPr="00214062" w:rsidTr="000D3A48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3,0</w:t>
            </w:r>
          </w:p>
        </w:tc>
      </w:tr>
      <w:tr w:rsidR="007872B6" w:rsidRPr="00214062" w:rsidTr="000D3A48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4,0</w:t>
            </w:r>
          </w:p>
        </w:tc>
      </w:tr>
      <w:tr w:rsidR="007872B6" w:rsidRPr="00214062" w:rsidTr="000D3A48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214062">
            <w:pPr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</w:tr>
    </w:tbl>
    <w:p w:rsidR="007872B6" w:rsidRDefault="007872B6">
      <w:pPr>
        <w:rPr>
          <w:rFonts w:ascii="Times New Roman" w:hAnsi="Times New Roman" w:cs="Times New Roman"/>
        </w:rPr>
      </w:pPr>
    </w:p>
    <w:sectPr w:rsidR="007872B6" w:rsidSect="00214062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247" w:bottom="1134" w:left="153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9C" w:rsidRDefault="003C5B9C" w:rsidP="007872B6">
      <w:pPr>
        <w:spacing w:after="0" w:line="240" w:lineRule="auto"/>
      </w:pPr>
      <w:r>
        <w:separator/>
      </w:r>
    </w:p>
  </w:endnote>
  <w:endnote w:type="continuationSeparator" w:id="0">
    <w:p w:rsidR="003C5B9C" w:rsidRDefault="003C5B9C" w:rsidP="0078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9C" w:rsidRDefault="003C5B9C" w:rsidP="007872B6">
      <w:pPr>
        <w:spacing w:after="0" w:line="240" w:lineRule="auto"/>
      </w:pPr>
      <w:r>
        <w:separator/>
      </w:r>
    </w:p>
  </w:footnote>
  <w:footnote w:type="continuationSeparator" w:id="0">
    <w:p w:rsidR="003C5B9C" w:rsidRDefault="003C5B9C" w:rsidP="0078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2B6"/>
    <w:rsid w:val="00016B6F"/>
    <w:rsid w:val="00027EFB"/>
    <w:rsid w:val="00097D9C"/>
    <w:rsid w:val="000D3A48"/>
    <w:rsid w:val="00214062"/>
    <w:rsid w:val="00241882"/>
    <w:rsid w:val="002E1B31"/>
    <w:rsid w:val="003C5B9C"/>
    <w:rsid w:val="004131D9"/>
    <w:rsid w:val="004E347E"/>
    <w:rsid w:val="00565B9D"/>
    <w:rsid w:val="005B67C7"/>
    <w:rsid w:val="00751980"/>
    <w:rsid w:val="00780A35"/>
    <w:rsid w:val="007872B6"/>
    <w:rsid w:val="008916C5"/>
    <w:rsid w:val="00A67B80"/>
    <w:rsid w:val="00BC44C6"/>
    <w:rsid w:val="00CD7687"/>
    <w:rsid w:val="00E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872B6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  <w:lang w:val="ru-RU"/>
    </w:rPr>
  </w:style>
  <w:style w:type="paragraph" w:styleId="a5">
    <w:name w:val="footer"/>
    <w:basedOn w:val="a"/>
    <w:link w:val="a6"/>
    <w:uiPriority w:val="99"/>
    <w:unhideWhenUsed/>
    <w:rsid w:val="002E1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E1B31"/>
    <w:rPr>
      <w:rFonts w:cs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16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16B6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98BB-498F-40F2-949E-7A7ADBC0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14</cp:revision>
  <dcterms:created xsi:type="dcterms:W3CDTF">2024-06-28T06:34:00Z</dcterms:created>
  <dcterms:modified xsi:type="dcterms:W3CDTF">2025-02-03T06:39:00Z</dcterms:modified>
</cp:coreProperties>
</file>