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D1" w:rsidRPr="00FA7FD1" w:rsidRDefault="00FA7FD1" w:rsidP="00BA53CC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FA7FD1" w:rsidRPr="00FA7FD1" w:rsidRDefault="00D42E3C" w:rsidP="00BA53CC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ГЛАМАЗДИНСКОГО</w:t>
      </w:r>
      <w:r w:rsidR="00FA7FD1" w:rsidRPr="00FA7FD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FA7FD1" w:rsidRPr="00FA7FD1" w:rsidRDefault="00D42E3C" w:rsidP="00BA53CC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="00FA7FD1" w:rsidRPr="00FA7FD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</w:t>
      </w:r>
    </w:p>
    <w:p w:rsidR="00FA7FD1" w:rsidRPr="00FA7FD1" w:rsidRDefault="00FA7FD1" w:rsidP="00BA53CC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FA7FD1" w:rsidRDefault="00CE575E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</w:t>
      </w:r>
      <w:r w:rsidR="00AE135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="00AE135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19 сентября </w:t>
      </w:r>
      <w:r w:rsidR="00FA7FD1" w:rsidRPr="00FA7FD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2019 г. № </w:t>
      </w:r>
      <w:r w:rsidR="00BA53C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61</w:t>
      </w:r>
    </w:p>
    <w:p w:rsidR="00BA53CC" w:rsidRPr="00FA7FD1" w:rsidRDefault="00BA53CC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.Г</w:t>
      </w:r>
      <w:proofErr w:type="gramEnd"/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ламаздино</w:t>
      </w:r>
      <w:proofErr w:type="spellEnd"/>
    </w:p>
    <w:p w:rsidR="00FA7FD1" w:rsidRPr="00FA7FD1" w:rsidRDefault="00FA7FD1" w:rsidP="00BA53CC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 программы</w:t>
      </w:r>
    </w:p>
    <w:p w:rsidR="00FA7FD1" w:rsidRPr="00FA7FD1" w:rsidRDefault="00FA7FD1" w:rsidP="00BA53CC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«Профилактика правонарушений на территории муниципального образования «</w:t>
      </w:r>
      <w:proofErr w:type="spellStart"/>
      <w:r w:rsidR="00D42E3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сельсовета» </w:t>
      </w:r>
      <w:proofErr w:type="spellStart"/>
      <w:r w:rsidR="00D42E3C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 на 2019 – 2021 годы»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Гламаздинский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принятой Концепцией реформирования бюджетного планирования Российской Федерации,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FA7FD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 </w:t>
      </w: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прилагаемую муниципальную программу «Профилактика правонарушений на территории муниципального образования «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областина 2019 – 2021 годы» (далее – Программа).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Финансирование программы осуществлять в пределах средств, ежегодно утвержденных соответствующими разделами бюджета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Установить, что в ходе реализации муниципальной программы «Профилактика правонарушений на территории муниципального образования «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областина 2019 – 2021 годы» подлежат ежегодной корректировке мероприятия и объемы их финансирования с учетом возможностей средств бюджета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сети Интернет.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Постановление вступает в силу со дня его обнародования и распространяется на правоотношения, возникшие с 1 января 2019 года.</w:t>
      </w:r>
    </w:p>
    <w:p w:rsidR="00BA53CC" w:rsidRDefault="00BA53CC" w:rsidP="00FA7FD1">
      <w:pPr>
        <w:shd w:val="clear" w:color="auto" w:fill="F8FAFB"/>
        <w:spacing w:before="195"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Глава </w:t>
      </w:r>
      <w:proofErr w:type="spellStart"/>
      <w:r w:rsidR="00D42E3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FA7FD1" w:rsidRPr="00FA7FD1" w:rsidRDefault="00D42E3C" w:rsidP="00FA7FD1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proofErr w:type="spellEnd"/>
      <w:r w:rsidR="00FA7FD1" w:rsidRPr="00FA7FD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                                                                         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Н.В.Соболев</w:t>
      </w:r>
      <w:r w:rsidR="00FA7FD1" w:rsidRPr="00FA7FD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Утверждена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FA7FD1" w:rsidRPr="00FA7FD1" w:rsidRDefault="00D42E3C" w:rsidP="00FA7FD1">
      <w:pPr>
        <w:shd w:val="clear" w:color="auto" w:fill="F8FAFB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AE1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.2019 г. №</w:t>
      </w:r>
      <w:r w:rsidR="00BA5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</w:t>
      </w:r>
      <w:r w:rsidR="00FA7FD1"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рофилактика правонарушений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сельсовета»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Муниципальная программа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«Профилактика правонарушений на территории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«</w:t>
      </w:r>
      <w:proofErr w:type="spellStart"/>
      <w:r w:rsidR="00D42E3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сельсовета» </w:t>
      </w:r>
      <w:proofErr w:type="spellStart"/>
      <w:r w:rsidR="00D42E3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</w:t>
      </w:r>
      <w:proofErr w:type="spellStart"/>
      <w:r w:rsidRPr="00FA7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Курскойобластина</w:t>
      </w:r>
      <w:proofErr w:type="spellEnd"/>
      <w:r w:rsidRPr="00FA7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2019 – 2021 годы»</w:t>
      </w: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Паспорт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муниципальной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«Профилактика правонарушений на территории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муниципального образования «</w:t>
      </w:r>
      <w:proofErr w:type="spellStart"/>
      <w:r w:rsidR="00D42E3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сельсовета» </w:t>
      </w:r>
      <w:proofErr w:type="spellStart"/>
      <w:r w:rsidR="00D42E3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Курской области</w:t>
      </w:r>
      <w:bookmarkStart w:id="0" w:name="_GoBack"/>
      <w:bookmarkEnd w:id="0"/>
      <w:r w:rsidRPr="00FA7FD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2019 – 2021 годы»</w:t>
      </w:r>
    </w:p>
    <w:tbl>
      <w:tblPr>
        <w:tblW w:w="94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5"/>
        <w:gridCol w:w="6575"/>
      </w:tblGrid>
      <w:tr w:rsidR="00FA7FD1" w:rsidRPr="00FA7FD1" w:rsidTr="00FA7FD1">
        <w:trPr>
          <w:trHeight w:val="345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</w:t>
            </w:r>
            <w:proofErr w:type="spellStart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областина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2019 – 2021 годы» (далее – Программа)</w:t>
            </w: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Совет профилактики Администрации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многоуровневой системы профилактики правонарушений на территории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Стабилизация и создание предпосылок для снижения уровня преступности на территории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лиц, освободившихся из мест лишения свободы.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3.Совершенствование нормативной правовой базы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по профилактике правонарушений.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организаций.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5.Снижение «правового нигилизма» населения, создание системы стимулов для ведения законопослушного образа жизни.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включает в себя следующие направления профилактической работы: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1.организационные мероприятия.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2.нормативное правовое обеспечение деятельности по профилактике правонарушений.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информационно - методическое обеспечение профилактической деятельности (правовое просвещение)</w:t>
            </w: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реализуется в 2019 - 2021 годы в один этап</w:t>
            </w: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C08" w:rsidRPr="00286C08" w:rsidRDefault="00286C08" w:rsidP="00286C08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C08">
              <w:rPr>
                <w:rFonts w:ascii="Arial" w:hAnsi="Arial" w:cs="Arial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Количество лиц, совершивших преступления в </w:t>
            </w: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составе организованных преступных групп.</w:t>
            </w: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Программой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Программой осуществляет Администрация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7FD1" w:rsidRPr="00FA7FD1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1.Повышение эффективности системы социальной профилактики правонарушений;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Оздоровление </w:t>
            </w:r>
            <w:proofErr w:type="gramStart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криминогенной обстановки</w:t>
            </w:r>
            <w:proofErr w:type="gram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потребительском рынке, улицах и других общественных местах;</w:t>
            </w:r>
          </w:p>
          <w:p w:rsidR="00FA7FD1" w:rsidRPr="00FA7FD1" w:rsidRDefault="00FA7FD1" w:rsidP="00FA7FD1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Повышение уровня доверия населения к правоохранительным органам. </w:t>
            </w:r>
          </w:p>
        </w:tc>
      </w:tr>
      <w:tr w:rsidR="00FA7FD1" w:rsidRPr="00FA7FD1" w:rsidTr="00FA7FD1">
        <w:trPr>
          <w:trHeight w:val="31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Программы осуществляют: Собрание депутатов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Администрация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</w:tbl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I. Содержание проблемы и обоснование необходимости ее решения программными методами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формирования на территории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(далее –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Гламаздинский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2019 – 2021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правового воспитания, профилактики правонарушений.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Гламаздинском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социальных конфликтов и других правонарушений. Деятельность </w:t>
      </w: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правоохранительных органов и Администрации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(далее – Администрация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Однако, несмотря на предпринимаемые меры, безопасность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муниципальном образовании.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Особого внимания требует профилактика правонарушений на дорогах муниципального образования,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проблемы отрицательно влияют на социально-экономическое развитие территории муниципального образования, тесно связаны между собой и не могут быть решены в отдельности.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Сложившееся положение требует разработки и реализации мер, направленных на решение 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 повышения защищенности населения муниципального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образования, которая на современном этапе является одной из наиболее приоритетных. При этом проблемы безопасности населения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должны решаться программными методами.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создания на территории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программы профилактики правонарушений на 2019-2021 годы, которая позволит реализовать комплекс объединенных единым замыслом адекватных мер по локализации причин и условий, </w:t>
      </w: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Основные цели и задачи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ресоциализацию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лиц, освободившихся из мест лишения свободы;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совершенствование нормативной правовой базы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профилактике правонарушений;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Сроки и этапы реализации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реализуется в 2019 – 2021 годах. Мероприятия Программы будут 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выполнятся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установленными сроками.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Сведения о показателях и индикаторах муниципальной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Количество лиц, совершивших преступления в составе организованных преступных групп.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решения задач Программы.</w:t>
      </w:r>
    </w:p>
    <w:p w:rsidR="00D42E3C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V. Ресурсное обеспечение муниципальной программы «Профилактика правонарушений на территории муниципального образования «</w:t>
      </w:r>
      <w:proofErr w:type="spellStart"/>
      <w:r w:rsidR="00D42E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Гламаздинск</w:t>
      </w:r>
      <w:r w:rsidR="00086D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D42E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мероприятий по реализации муниципальной программы на 2019 – 2021 гг.</w:t>
      </w:r>
    </w:p>
    <w:p w:rsidR="00FA7FD1" w:rsidRPr="00FA7FD1" w:rsidRDefault="00FA7FD1" w:rsidP="00FA7FD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br w:type="textWrapping" w:clear="all"/>
      </w:r>
    </w:p>
    <w:tbl>
      <w:tblPr>
        <w:tblW w:w="10774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2"/>
        <w:gridCol w:w="1559"/>
        <w:gridCol w:w="709"/>
        <w:gridCol w:w="850"/>
        <w:gridCol w:w="709"/>
        <w:gridCol w:w="709"/>
        <w:gridCol w:w="850"/>
        <w:gridCol w:w="1276"/>
        <w:gridCol w:w="1701"/>
      </w:tblGrid>
      <w:tr w:rsidR="00D42E3C" w:rsidRPr="00FA7FD1" w:rsidTr="00D42E3C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финансирования, направления расходов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Финансовые затраты на реализацию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42E3C" w:rsidRPr="00FA7FD1" w:rsidTr="00D42E3C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42E3C" w:rsidRPr="00FA7FD1" w:rsidTr="00D42E3C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95"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Участие в районных мероприятиях по актуальным 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проблемам профилактики правонарушений на темы:</w:t>
            </w:r>
          </w:p>
          <w:p w:rsidR="00FA7FD1" w:rsidRPr="00FA7FD1" w:rsidRDefault="00FA7FD1" w:rsidP="00FA7FD1">
            <w:pPr>
              <w:spacing w:before="195"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- о реабилитации несовершеннолетних же</w:t>
            </w:r>
            <w:proofErr w:type="gramStart"/>
            <w:r w:rsidRPr="00FA7FD1">
              <w:rPr>
                <w:rFonts w:ascii="Arial" w:eastAsia="Times New Roman" w:hAnsi="Arial" w:cs="Arial"/>
                <w:lang w:eastAsia="ru-RU"/>
              </w:rPr>
              <w:t>ртв пр</w:t>
            </w:r>
            <w:proofErr w:type="gramEnd"/>
            <w:r w:rsidRPr="00FA7FD1">
              <w:rPr>
                <w:rFonts w:ascii="Arial" w:eastAsia="Times New Roman" w:hAnsi="Arial" w:cs="Arial"/>
                <w:lang w:eastAsia="ru-RU"/>
              </w:rPr>
              <w:t>авонарушений и преступлений;</w:t>
            </w:r>
          </w:p>
          <w:p w:rsidR="00FA7FD1" w:rsidRPr="00FA7FD1" w:rsidRDefault="00FA7FD1" w:rsidP="00FA7FD1">
            <w:pPr>
              <w:spacing w:before="195"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FA7FD1" w:rsidRPr="00FA7FD1" w:rsidRDefault="00FA7FD1" w:rsidP="00FA7FD1">
            <w:pPr>
              <w:spacing w:before="195"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- об организации комплексной помощи семьям и несовершеннолетним, </w:t>
            </w:r>
            <w:proofErr w:type="gramStart"/>
            <w:r w:rsidRPr="00FA7FD1">
              <w:rPr>
                <w:rFonts w:ascii="Arial" w:eastAsia="Times New Roman" w:hAnsi="Arial" w:cs="Arial"/>
                <w:lang w:eastAsia="ru-RU"/>
              </w:rPr>
              <w:t>находящихся</w:t>
            </w:r>
            <w:proofErr w:type="gramEnd"/>
            <w:r w:rsidRPr="00FA7FD1">
              <w:rPr>
                <w:rFonts w:ascii="Arial" w:eastAsia="Times New Roman" w:hAnsi="Arial" w:cs="Arial"/>
                <w:lang w:eastAsia="ru-RU"/>
              </w:rPr>
              <w:t xml:space="preserve"> в социально опасном положении.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 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086D94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Участковый уполномоченный полиции, 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сельсовета, МКУК «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Гламаздинский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СДК», МКУК «</w:t>
            </w:r>
            <w:proofErr w:type="spellStart"/>
            <w:r w:rsidR="00086D94">
              <w:rPr>
                <w:rFonts w:ascii="Arial" w:eastAsia="Times New Roman" w:hAnsi="Arial" w:cs="Arial"/>
                <w:lang w:eastAsia="ru-RU"/>
              </w:rPr>
              <w:t>Малеевский</w:t>
            </w:r>
            <w:proofErr w:type="spellEnd"/>
            <w:r w:rsidR="00086D94">
              <w:rPr>
                <w:rFonts w:ascii="Arial" w:eastAsia="Times New Roman" w:hAnsi="Arial" w:cs="Arial"/>
                <w:lang w:eastAsia="ru-RU"/>
              </w:rPr>
              <w:t xml:space="preserve"> СДК», </w:t>
            </w:r>
            <w:proofErr w:type="spellStart"/>
            <w:r w:rsidR="00086D94">
              <w:rPr>
                <w:rFonts w:ascii="Arial" w:eastAsia="Times New Roman" w:hAnsi="Arial" w:cs="Arial"/>
                <w:lang w:eastAsia="ru-RU"/>
              </w:rPr>
              <w:t>Гламаздинская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СОШ,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 xml:space="preserve">Повышение профессиональной компетентности 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специалистов образовательных учреждений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Ведение банка данных семей, находящихся в социально опасном положении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 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 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 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Анализ и прогнозирование работы по оказанию своевременной помощи семьям и 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несовершеннолетним 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95"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сельсовета, МКУК «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Гламаздинский</w:t>
            </w:r>
            <w:r w:rsidRPr="00FA7FD1">
              <w:rPr>
                <w:rFonts w:ascii="Arial" w:eastAsia="Times New Roman" w:hAnsi="Arial" w:cs="Arial"/>
                <w:lang w:eastAsia="ru-RU"/>
              </w:rPr>
              <w:t>СДК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>»</w:t>
            </w:r>
          </w:p>
          <w:p w:rsidR="00FA7FD1" w:rsidRPr="00FA7FD1" w:rsidRDefault="00FA7FD1" w:rsidP="00086D94">
            <w:pPr>
              <w:spacing w:before="195"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МКУК «</w:t>
            </w:r>
            <w:proofErr w:type="spellStart"/>
            <w:r w:rsidR="00086D94">
              <w:rPr>
                <w:rFonts w:ascii="Arial" w:eastAsia="Times New Roman" w:hAnsi="Arial" w:cs="Arial"/>
                <w:lang w:eastAsia="ru-RU"/>
              </w:rPr>
              <w:t>Малеевский</w:t>
            </w:r>
            <w:r w:rsidRPr="00FA7FD1">
              <w:rPr>
                <w:rFonts w:ascii="Arial" w:eastAsia="Times New Roman" w:hAnsi="Arial" w:cs="Arial"/>
                <w:lang w:eastAsia="ru-RU"/>
              </w:rPr>
              <w:t>СДК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Проведение конкурсов художественного творчества для детей,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086D94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МКУК «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Гламаздинский</w:t>
            </w:r>
            <w:r w:rsidRPr="00FA7FD1">
              <w:rPr>
                <w:rFonts w:ascii="Arial" w:eastAsia="Times New Roman" w:hAnsi="Arial" w:cs="Arial"/>
                <w:lang w:eastAsia="ru-RU"/>
              </w:rPr>
              <w:t>СДК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>» МКУК «</w:t>
            </w:r>
            <w:proofErr w:type="spellStart"/>
            <w:r w:rsidR="00086D94">
              <w:rPr>
                <w:rFonts w:ascii="Arial" w:eastAsia="Times New Roman" w:hAnsi="Arial" w:cs="Arial"/>
                <w:lang w:eastAsia="ru-RU"/>
              </w:rPr>
              <w:t>Малеевский</w:t>
            </w:r>
            <w:r w:rsidRPr="00FA7FD1">
              <w:rPr>
                <w:rFonts w:ascii="Arial" w:eastAsia="Times New Roman" w:hAnsi="Arial" w:cs="Arial"/>
                <w:lang w:eastAsia="ru-RU"/>
              </w:rPr>
              <w:t>СДК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FA7FD1">
              <w:rPr>
                <w:rFonts w:ascii="Arial" w:eastAsia="Times New Roman" w:hAnsi="Arial" w:cs="Arial"/>
                <w:lang w:eastAsia="ru-RU"/>
              </w:rPr>
              <w:t>табакокурения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>, распространения ВИЧ-инфекции в форме лекций, бесед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D42E3C" w:rsidP="00086D94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Гламаздинский</w:t>
            </w:r>
            <w:proofErr w:type="spellEnd"/>
            <w:r w:rsidR="00FA7FD1" w:rsidRPr="00FA7FD1">
              <w:rPr>
                <w:rFonts w:ascii="Arial" w:eastAsia="Times New Roman" w:hAnsi="Arial" w:cs="Arial"/>
                <w:lang w:eastAsia="ru-RU"/>
              </w:rPr>
              <w:t xml:space="preserve"> ФАП, </w:t>
            </w:r>
            <w:proofErr w:type="spellStart"/>
            <w:r w:rsidR="00086D94">
              <w:rPr>
                <w:rFonts w:ascii="Arial" w:eastAsia="Times New Roman" w:hAnsi="Arial" w:cs="Arial"/>
                <w:lang w:eastAsia="ru-RU"/>
              </w:rPr>
              <w:t>Стрекаловский</w:t>
            </w:r>
            <w:proofErr w:type="spellEnd"/>
            <w:r w:rsidR="00FA7FD1" w:rsidRPr="00FA7FD1">
              <w:rPr>
                <w:rFonts w:ascii="Arial" w:eastAsia="Times New Roman" w:hAnsi="Arial" w:cs="Arial"/>
                <w:lang w:eastAsia="ru-RU"/>
              </w:rPr>
              <w:t xml:space="preserve"> ФАП,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Проведение профилактиче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без финансирова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2019-2021 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Участковый 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 xml:space="preserve">уполномоченный полиции, 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Повышение эффективност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и системы социальной профилактики правонарушений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Участковый уполномоченный полиции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FA7FD1" w:rsidTr="00D42E3C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Вести работу по осуществлению функции по социальной адаптации лиц, 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освободившихся из мест лишения свободы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сельсовета, участковы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й уполномоченный полиции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Повышение эффективности системы социальной профилактики правонарушений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Обнародование информации по проблемам </w:t>
            </w:r>
            <w:proofErr w:type="spellStart"/>
            <w:r w:rsidRPr="00FA7FD1">
              <w:rPr>
                <w:rFonts w:ascii="Arial" w:eastAsia="Times New Roman" w:hAnsi="Arial" w:cs="Arial"/>
                <w:lang w:eastAsia="ru-RU"/>
              </w:rPr>
              <w:t>табакокурения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и алкоголизма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Информирование населения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 о заболеваниях, развивающихся в результате злоупотребления алкогольной продукции и </w:t>
            </w:r>
            <w:proofErr w:type="spellStart"/>
            <w:r w:rsidRPr="00FA7FD1">
              <w:rPr>
                <w:rFonts w:ascii="Arial" w:eastAsia="Times New Roman" w:hAnsi="Arial" w:cs="Arial"/>
                <w:lang w:eastAsia="ru-RU"/>
              </w:rPr>
              <w:t>табакокурения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086D94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сельсовета,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Гламаздинский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ФАП, </w:t>
            </w:r>
            <w:proofErr w:type="spellStart"/>
            <w:r w:rsidR="00086D94">
              <w:rPr>
                <w:rFonts w:ascii="Arial" w:eastAsia="Times New Roman" w:hAnsi="Arial" w:cs="Arial"/>
                <w:lang w:eastAsia="ru-RU"/>
              </w:rPr>
              <w:t>Стрекаловский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ФАП,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Организация проведения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наркомании, а также нарушений правопорядка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086D94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сельсовета, МКУК «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Гламаздинский</w:t>
            </w:r>
            <w:r w:rsidRPr="00FA7FD1">
              <w:rPr>
                <w:rFonts w:ascii="Arial" w:eastAsia="Times New Roman" w:hAnsi="Arial" w:cs="Arial"/>
                <w:lang w:eastAsia="ru-RU"/>
              </w:rPr>
              <w:t>СДК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>», МКУК «</w:t>
            </w:r>
            <w:proofErr w:type="spellStart"/>
            <w:r w:rsidR="00086D94">
              <w:rPr>
                <w:rFonts w:ascii="Arial" w:eastAsia="Times New Roman" w:hAnsi="Arial" w:cs="Arial"/>
                <w:lang w:eastAsia="ru-RU"/>
              </w:rPr>
              <w:t>Малеевский</w:t>
            </w:r>
            <w:r w:rsidRPr="00FA7FD1">
              <w:rPr>
                <w:rFonts w:ascii="Arial" w:eastAsia="Times New Roman" w:hAnsi="Arial" w:cs="Arial"/>
                <w:lang w:eastAsia="ru-RU"/>
              </w:rPr>
              <w:t>СДК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FA7FD1" w:rsidTr="00D42E3C">
        <w:trPr>
          <w:trHeight w:val="2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Обеспечение неукоснительного исполнения законодательства по обеспечению трудоустройства осужденных к исправительным и обязательным работам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Трудоустройство лиц, осужденных к исправительным и обязательным работам</w:t>
            </w:r>
          </w:p>
        </w:tc>
      </w:tr>
      <w:tr w:rsidR="00901F9F" w:rsidRPr="00FA7FD1" w:rsidTr="00D42E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Правовое просвещение и правовое информирование путем доведения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применение </w:t>
            </w: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различных мер образовательного, воспитательного, информационного, организационного или методического характера (разработка информационных материалов и материалов социальной рекламы)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lastRenderedPageBreak/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10,0 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10,0 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086D94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Гламаздинского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сельсовета, МКУК «</w:t>
            </w:r>
            <w:proofErr w:type="spellStart"/>
            <w:r w:rsidR="00D42E3C">
              <w:rPr>
                <w:rFonts w:ascii="Arial" w:eastAsia="Times New Roman" w:hAnsi="Arial" w:cs="Arial"/>
                <w:lang w:eastAsia="ru-RU"/>
              </w:rPr>
              <w:t>Гламаздинский</w:t>
            </w:r>
            <w:r w:rsidRPr="00FA7FD1">
              <w:rPr>
                <w:rFonts w:ascii="Arial" w:eastAsia="Times New Roman" w:hAnsi="Arial" w:cs="Arial"/>
                <w:lang w:eastAsia="ru-RU"/>
              </w:rPr>
              <w:t>СДК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>», МКУК «</w:t>
            </w:r>
            <w:proofErr w:type="spellStart"/>
            <w:r w:rsidR="00086D94">
              <w:rPr>
                <w:rFonts w:ascii="Arial" w:eastAsia="Times New Roman" w:hAnsi="Arial" w:cs="Arial"/>
                <w:lang w:eastAsia="ru-RU"/>
              </w:rPr>
              <w:t>Малеевский</w:t>
            </w:r>
            <w:r w:rsidRPr="00FA7FD1">
              <w:rPr>
                <w:rFonts w:ascii="Arial" w:eastAsia="Times New Roman" w:hAnsi="Arial" w:cs="Arial"/>
                <w:lang w:eastAsia="ru-RU"/>
              </w:rPr>
              <w:t>СДК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>»</w:t>
            </w:r>
            <w:proofErr w:type="gramStart"/>
            <w:r w:rsidRPr="00FA7FD1">
              <w:rPr>
                <w:rFonts w:ascii="Arial" w:eastAsia="Times New Roman" w:hAnsi="Arial" w:cs="Arial"/>
                <w:lang w:eastAsia="ru-RU"/>
              </w:rPr>
              <w:t>,</w:t>
            </w:r>
            <w:proofErr w:type="spellStart"/>
            <w:r w:rsidR="00086D94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="00086D94">
              <w:rPr>
                <w:rFonts w:ascii="Arial" w:eastAsia="Times New Roman" w:hAnsi="Arial" w:cs="Arial"/>
                <w:lang w:eastAsia="ru-RU"/>
              </w:rPr>
              <w:t>ламаздинская</w:t>
            </w:r>
            <w:proofErr w:type="spellEnd"/>
            <w:r w:rsidRPr="00FA7FD1">
              <w:rPr>
                <w:rFonts w:ascii="Arial" w:eastAsia="Times New Roman" w:hAnsi="Arial" w:cs="Arial"/>
                <w:lang w:eastAsia="ru-RU"/>
              </w:rPr>
              <w:t xml:space="preserve"> СОШ,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after="0" w:line="341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FA7FD1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</w:tbl>
    <w:p w:rsidR="00FA7FD1" w:rsidRPr="00FA7FD1" w:rsidRDefault="00FA7FD1" w:rsidP="00FA7FD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VI. Обоснование объема финансовых ресурсов, необходимых для реализации муниципальной программы</w:t>
      </w:r>
    </w:p>
    <w:tbl>
      <w:tblPr>
        <w:tblW w:w="94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0"/>
      </w:tblGrid>
      <w:tr w:rsidR="00286C08" w:rsidRPr="00FA7FD1" w:rsidTr="0075007D">
        <w:trPr>
          <w:trHeight w:val="330"/>
        </w:trPr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C08" w:rsidRPr="00286C08" w:rsidRDefault="00286C08" w:rsidP="0075007D">
            <w:pPr>
              <w:spacing w:before="195"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C08">
              <w:rPr>
                <w:rFonts w:ascii="Arial" w:hAnsi="Arial" w:cs="Arial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  <w:p w:rsidR="00286C08" w:rsidRPr="00FA7FD1" w:rsidRDefault="00286C08" w:rsidP="0075007D">
            <w:pPr>
              <w:spacing w:before="195" w:after="0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Раздел VII. Организация управления и </w:t>
      </w:r>
      <w:proofErr w:type="gramStart"/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ходом реализации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 Программой осуществляется Администрацией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до 1 февраля года, следующего за отчетным календарным годом.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реализации Программы в соответствующем году должен содержать: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завершенных в течение года мероприятий по Программе;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перечень не завершенных в течение года мероприятий программы и процент их не завершения;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 причин несвоевременного завершения программных мероприятий;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VIII. Обобщенная характеристика мер государственного регулирования в сфере реализации муниципальной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IX. Сведения об основных мерах правового регулирования в сфере реализации муниципальной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X. Прогноз сводных показателей муниципальных заданий по этапам реализации муниципальной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XI. Обобщенная характеристика основных мероприятий, реализуемых муниципальным образованием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Муниципальная программа реализуется Администрацией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XII.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  <w:proofErr w:type="gramEnd"/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142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XIII. Методика оценки эффективности муниципальной программы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Ei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степень достижения i – показателя муниципальной программы (процентов);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Tfi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фактическое значение показателя;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TNi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установленное муниципальной программой целевое значение показателя.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- количество показателей муниципальной программы.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устанавливаются следующие критерии: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Расчет 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следующей формуле: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  <w:proofErr w:type="gramEnd"/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</w:t>
      </w:r>
      <w:proofErr w:type="gram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AE135F" w:rsidRDefault="00AE135F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5F" w:rsidRDefault="00AE135F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5F" w:rsidRDefault="00AE135F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5F" w:rsidRDefault="00AE135F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муниципальной программе муниципального образования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«Профилактика правонарушений на территории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Гламаздинского</w:t>
      </w:r>
      <w:proofErr w:type="spellEnd"/>
    </w:p>
    <w:p w:rsidR="00FA7FD1" w:rsidRPr="00FA7FD1" w:rsidRDefault="00FA7FD1" w:rsidP="00FA7FD1">
      <w:pPr>
        <w:shd w:val="clear" w:color="auto" w:fill="F8FAFB"/>
        <w:spacing w:before="195"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сельсовет» </w:t>
      </w:r>
      <w:proofErr w:type="spellStart"/>
      <w:r w:rsidR="00D42E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FA7FD1" w:rsidRPr="00FA7FD1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A7FD1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Сведения о показателях (индикаторах) муниципальной программы муниципального образования «</w:t>
      </w:r>
      <w:proofErr w:type="spellStart"/>
      <w:r w:rsidR="00D42E3C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D42E3C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района Курской области «Профилактика правонарушений на территории муниципального образования «</w:t>
      </w:r>
      <w:proofErr w:type="spellStart"/>
      <w:r w:rsidR="00D42E3C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Гламаздинского</w:t>
      </w:r>
      <w:proofErr w:type="spellEnd"/>
      <w:r w:rsidRPr="00FA7FD1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D42E3C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Хомутовского</w:t>
      </w:r>
      <w:proofErr w:type="spellEnd"/>
      <w:r w:rsidRPr="00FA7FD1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района Курской области»</w:t>
      </w:r>
    </w:p>
    <w:tbl>
      <w:tblPr>
        <w:tblW w:w="913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7"/>
        <w:gridCol w:w="5062"/>
        <w:gridCol w:w="1431"/>
        <w:gridCol w:w="804"/>
        <w:gridCol w:w="698"/>
        <w:gridCol w:w="674"/>
      </w:tblGrid>
      <w:tr w:rsidR="00FA7FD1" w:rsidRPr="00FA7FD1" w:rsidTr="00FA7FD1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</w:t>
            </w:r>
            <w:proofErr w:type="gramEnd"/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Наименование </w:t>
            </w:r>
            <w:r w:rsidRPr="00FA7FD1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FA7FD1" w:rsidRPr="00FA7FD1" w:rsidTr="00FA7F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FA7FD1" w:rsidRPr="00FA7FD1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2021</w:t>
            </w:r>
          </w:p>
        </w:tc>
      </w:tr>
      <w:tr w:rsidR="00FA7FD1" w:rsidRPr="00FA7FD1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1,0</w:t>
            </w:r>
          </w:p>
        </w:tc>
      </w:tr>
      <w:tr w:rsidR="00FA7FD1" w:rsidRPr="00FA7FD1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Снижение количества зарегистрированных преступлений, совершаемых лицами, ранее судимыми,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3,0</w:t>
            </w:r>
          </w:p>
        </w:tc>
      </w:tr>
      <w:tr w:rsidR="00FA7FD1" w:rsidRPr="00FA7FD1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4,0</w:t>
            </w:r>
          </w:p>
        </w:tc>
      </w:tr>
      <w:tr w:rsidR="00FA7FD1" w:rsidRPr="00FA7FD1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Количество лиц, совершивших преступления в составе организованных преступных групп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A7FD1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</w:t>
            </w:r>
          </w:p>
        </w:tc>
      </w:tr>
    </w:tbl>
    <w:p w:rsidR="00D00989" w:rsidRDefault="00D00989"/>
    <w:sectPr w:rsidR="00D00989" w:rsidSect="004B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FD1"/>
    <w:rsid w:val="00086D94"/>
    <w:rsid w:val="00286C08"/>
    <w:rsid w:val="004B13B3"/>
    <w:rsid w:val="00617282"/>
    <w:rsid w:val="008851D6"/>
    <w:rsid w:val="00901F9F"/>
    <w:rsid w:val="00AE135F"/>
    <w:rsid w:val="00BA53CC"/>
    <w:rsid w:val="00CE575E"/>
    <w:rsid w:val="00D00989"/>
    <w:rsid w:val="00D42E3C"/>
    <w:rsid w:val="00FA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2019-09-19T07:06:00Z</cp:lastPrinted>
  <dcterms:created xsi:type="dcterms:W3CDTF">2019-08-20T12:41:00Z</dcterms:created>
  <dcterms:modified xsi:type="dcterms:W3CDTF">2019-09-22T06:09:00Z</dcterms:modified>
</cp:coreProperties>
</file>