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9E356E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ГЛАМАЗДИНСКОГО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7D01BD" w:rsidRDefault="00C814A8" w:rsidP="00011756">
      <w:pPr>
        <w:pStyle w:val="1"/>
        <w:widowControl/>
        <w:tabs>
          <w:tab w:val="clear" w:pos="0"/>
        </w:tabs>
        <w:autoSpaceDE/>
      </w:pPr>
      <w:r w:rsidRPr="007D01BD">
        <w:t xml:space="preserve">от </w:t>
      </w:r>
      <w:r w:rsidR="00A538C9" w:rsidRPr="007D01BD">
        <w:t>2</w:t>
      </w:r>
      <w:r w:rsidR="001F1BC5">
        <w:t>1</w:t>
      </w:r>
      <w:r w:rsidR="00A538C9" w:rsidRPr="007D01BD">
        <w:t>.11</w:t>
      </w:r>
      <w:r w:rsidR="00D87E95" w:rsidRPr="007D01BD">
        <w:t>.202</w:t>
      </w:r>
      <w:r w:rsidR="001F1BC5">
        <w:t>2г.</w:t>
      </w:r>
      <w:r w:rsidRPr="007D01BD">
        <w:t xml:space="preserve">  №</w:t>
      </w:r>
      <w:r w:rsidR="007D01BD" w:rsidRPr="007D01BD">
        <w:t xml:space="preserve"> 1</w:t>
      </w:r>
      <w:r w:rsidR="001F1BC5">
        <w:t>9</w:t>
      </w:r>
      <w:r w:rsidR="00530604" w:rsidRPr="007D01BD">
        <w:t>/</w:t>
      </w:r>
      <w:r w:rsidR="001F1BC5">
        <w:t>99</w:t>
      </w:r>
      <w:r w:rsidR="00AC641F" w:rsidRPr="007D01BD">
        <w:t>-3</w:t>
      </w:r>
    </w:p>
    <w:p w:rsidR="00C814A8" w:rsidRPr="007D01BD" w:rsidRDefault="00C814A8" w:rsidP="00011756">
      <w:pPr>
        <w:spacing w:after="0" w:line="240" w:lineRule="auto"/>
        <w:rPr>
          <w:b/>
          <w:sz w:val="16"/>
          <w:szCs w:val="16"/>
          <w:lang w:eastAsia="ar-SA"/>
        </w:rPr>
      </w:pPr>
    </w:p>
    <w:p w:rsidR="00C814A8" w:rsidRPr="007D01BD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A538C9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муниципального образования “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сельсовет” 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proofErr w:type="gramStart"/>
      <w:r w:rsidRPr="00A538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9E356E" w:rsidRP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lastRenderedPageBreak/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>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</w:t>
      </w:r>
      <w:r w:rsidR="00E61B73">
        <w:rPr>
          <w:rFonts w:ascii="Times New Roman" w:hAnsi="Times New Roman"/>
          <w:sz w:val="28"/>
          <w:szCs w:val="28"/>
        </w:rPr>
        <w:t xml:space="preserve"> 1</w:t>
      </w:r>
      <w:r w:rsidR="001F1BC5">
        <w:rPr>
          <w:rFonts w:ascii="Times New Roman" w:hAnsi="Times New Roman"/>
          <w:sz w:val="28"/>
          <w:szCs w:val="28"/>
        </w:rPr>
        <w:t>0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1F1BC5">
        <w:rPr>
          <w:rFonts w:ascii="Times New Roman" w:hAnsi="Times New Roman"/>
          <w:sz w:val="28"/>
          <w:szCs w:val="28"/>
        </w:rPr>
        <w:t>2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9E356E">
        <w:rPr>
          <w:rFonts w:ascii="Times New Roman" w:hAnsi="Times New Roman"/>
          <w:sz w:val="28"/>
          <w:szCs w:val="28"/>
        </w:rPr>
        <w:t>Г</w:t>
      </w:r>
      <w:proofErr w:type="gramEnd"/>
      <w:r w:rsidR="009E356E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4C5CF3" w:rsidRPr="00AC641F">
        <w:rPr>
          <w:rFonts w:ascii="Times New Roman" w:hAnsi="Times New Roman"/>
          <w:sz w:val="28"/>
          <w:szCs w:val="28"/>
        </w:rPr>
        <w:t>,</w:t>
      </w:r>
      <w:r w:rsidR="009E356E">
        <w:rPr>
          <w:rFonts w:ascii="Times New Roman" w:hAnsi="Times New Roman"/>
          <w:sz w:val="28"/>
          <w:szCs w:val="28"/>
        </w:rPr>
        <w:t xml:space="preserve"> ул. Центральная, д.35б,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F1BC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7D01B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D87E95" w:rsidRDefault="00FB70D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 w:rsidR="002327E6"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11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района  </w:t>
      </w:r>
      <w:r w:rsidR="001F1BC5">
        <w:rPr>
          <w:rFonts w:ascii="Times New Roman" w:hAnsi="Times New Roman"/>
          <w:sz w:val="28"/>
          <w:szCs w:val="28"/>
        </w:rPr>
        <w:t>О.А.Козодаеву</w:t>
      </w:r>
      <w:r w:rsidR="002327E6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9E356E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411C80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1F1BC5">
        <w:rPr>
          <w:rFonts w:ascii="Times New Roman" w:hAnsi="Times New Roman"/>
          <w:sz w:val="28"/>
          <w:szCs w:val="28"/>
        </w:rPr>
        <w:t>О.А.Козодаева</w:t>
      </w:r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40C7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40C7"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99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="009E356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411C80"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 w:rsidR="00411C80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11C80">
              <w:rPr>
                <w:rFonts w:ascii="Times New Roman" w:hAnsi="Times New Roman" w:cs="Times New Roman"/>
                <w:sz w:val="28"/>
                <w:szCs w:val="28"/>
              </w:rPr>
              <w:t>Соболева Елена Владимировна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411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- директор МКУК «</w:t>
            </w:r>
            <w:proofErr w:type="spellStart"/>
            <w:r w:rsidR="009E356E">
              <w:rPr>
                <w:rFonts w:ascii="Times New Roman" w:hAnsi="Times New Roman" w:cs="Times New Roman"/>
                <w:sz w:val="28"/>
                <w:szCs w:val="28"/>
              </w:rPr>
              <w:t>Гламаздинский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64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Pr="007D01B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/>
          <w:sz w:val="28"/>
          <w:szCs w:val="28"/>
        </w:rPr>
        <w:t>«О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н</w:t>
      </w:r>
      <w:r w:rsidRPr="00A42093">
        <w:rPr>
          <w:rFonts w:ascii="Times New Roman" w:hAnsi="Times New Roman" w:cs="Times New Roman"/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411C8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Default="002327E6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011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 проекте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/>
          <w:sz w:val="28"/>
          <w:szCs w:val="28"/>
        </w:rPr>
        <w:t>3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/>
          <w:sz w:val="28"/>
          <w:szCs w:val="28"/>
        </w:rPr>
        <w:t>4</w:t>
      </w:r>
      <w:r w:rsidR="004011ED" w:rsidRPr="007D01BD">
        <w:rPr>
          <w:rFonts w:ascii="Times New Roman" w:hAnsi="Times New Roman"/>
          <w:sz w:val="28"/>
          <w:szCs w:val="28"/>
        </w:rPr>
        <w:t xml:space="preserve"> и 202</w:t>
      </w:r>
      <w:r w:rsidR="001F1BC5">
        <w:rPr>
          <w:rFonts w:ascii="Times New Roman" w:hAnsi="Times New Roman"/>
          <w:sz w:val="28"/>
          <w:szCs w:val="28"/>
        </w:rPr>
        <w:t>5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годов».</w:t>
      </w:r>
      <w:r w:rsidRPr="007D01BD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9/99</w:t>
            </w:r>
            <w:r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FF0316" w:rsidRDefault="00FF0316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</w:t>
      </w:r>
      <w:r w:rsidR="004011ED">
        <w:rPr>
          <w:rFonts w:ascii="Times New Roman" w:hAnsi="Times New Roman"/>
          <w:b/>
          <w:sz w:val="28"/>
          <w:szCs w:val="28"/>
        </w:rPr>
        <w:t>О проекте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а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1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</w:t>
      </w:r>
      <w:r w:rsidR="001F1BC5">
        <w:rPr>
          <w:rFonts w:ascii="Times New Roman" w:hAnsi="Times New Roman"/>
          <w:sz w:val="28"/>
          <w:szCs w:val="28"/>
        </w:rPr>
        <w:t>0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87560" w:rsidRPr="007D01BD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287560" w:rsidRPr="007D01BD">
        <w:rPr>
          <w:rFonts w:ascii="Times New Roman" w:hAnsi="Times New Roman"/>
          <w:sz w:val="28"/>
          <w:szCs w:val="28"/>
        </w:rPr>
        <w:t>О проекте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sz w:val="28"/>
          <w:szCs w:val="28"/>
        </w:rPr>
        <w:t>3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sz w:val="28"/>
          <w:szCs w:val="28"/>
        </w:rPr>
        <w:t>4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sz w:val="28"/>
          <w:szCs w:val="28"/>
        </w:rPr>
        <w:t>5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87560" w:rsidRPr="007D01BD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 w:rsidR="001F1BC5">
        <w:rPr>
          <w:rFonts w:ascii="Times New Roman" w:hAnsi="Times New Roman"/>
          <w:sz w:val="28"/>
          <w:szCs w:val="28"/>
        </w:rPr>
        <w:t>7</w:t>
      </w:r>
      <w:r w:rsidRPr="008C74D6">
        <w:rPr>
          <w:rFonts w:ascii="Times New Roman" w:hAnsi="Times New Roman"/>
          <w:sz w:val="28"/>
          <w:szCs w:val="28"/>
        </w:rPr>
        <w:t>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2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01BD">
              <w:rPr>
                <w:rFonts w:ascii="Times New Roman" w:hAnsi="Times New Roman"/>
                <w:sz w:val="28"/>
                <w:szCs w:val="28"/>
              </w:rPr>
              <w:t>1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99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7D0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</w:t>
      </w:r>
      <w:r w:rsidR="00287560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28756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338B" w:rsidRDefault="00C814A8" w:rsidP="007D33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D338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D338B">
        <w:rPr>
          <w:rFonts w:ascii="Times New Roman" w:hAnsi="Times New Roman"/>
          <w:sz w:val="28"/>
          <w:szCs w:val="28"/>
        </w:rPr>
        <w:t xml:space="preserve"> района </w:t>
      </w:r>
      <w:r w:rsidR="007D338B" w:rsidRPr="008C74D6">
        <w:rPr>
          <w:rFonts w:ascii="Times New Roman" w:hAnsi="Times New Roman"/>
          <w:sz w:val="28"/>
          <w:szCs w:val="28"/>
        </w:rPr>
        <w:t>«</w:t>
      </w:r>
      <w:r w:rsidR="007D338B">
        <w:rPr>
          <w:rFonts w:ascii="Times New Roman" w:hAnsi="Times New Roman"/>
          <w:b/>
          <w:sz w:val="28"/>
          <w:szCs w:val="28"/>
        </w:rPr>
        <w:t>О проекте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7D338B">
        <w:rPr>
          <w:rFonts w:ascii="Times New Roman" w:hAnsi="Times New Roman" w:cs="Times New Roman"/>
          <w:b/>
          <w:sz w:val="28"/>
          <w:szCs w:val="28"/>
        </w:rPr>
        <w:t>а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338B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7D338B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F1BC5">
        <w:rPr>
          <w:rFonts w:ascii="Times New Roman" w:hAnsi="Times New Roman" w:cs="Times New Roman"/>
          <w:b/>
          <w:sz w:val="28"/>
          <w:szCs w:val="28"/>
        </w:rPr>
        <w:t>3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F1BC5">
        <w:rPr>
          <w:rFonts w:ascii="Times New Roman" w:hAnsi="Times New Roman" w:cs="Times New Roman"/>
          <w:b/>
          <w:sz w:val="28"/>
          <w:szCs w:val="28"/>
        </w:rPr>
        <w:t>4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7D338B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D338B">
        <w:rPr>
          <w:rFonts w:ascii="Times New Roman" w:hAnsi="Times New Roman" w:cs="Times New Roman"/>
          <w:b/>
          <w:sz w:val="28"/>
          <w:szCs w:val="28"/>
        </w:rPr>
        <w:t>»</w:t>
      </w:r>
      <w:r w:rsidR="007D338B">
        <w:rPr>
          <w:rFonts w:ascii="Times New Roman" w:hAnsi="Times New Roman"/>
          <w:sz w:val="28"/>
          <w:szCs w:val="28"/>
        </w:rPr>
        <w:t>.</w:t>
      </w:r>
      <w:proofErr w:type="gramEnd"/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</w:t>
      </w:r>
      <w:r w:rsidR="00411C80">
        <w:rPr>
          <w:rFonts w:ascii="Times New Roman" w:hAnsi="Times New Roman"/>
          <w:sz w:val="28"/>
          <w:szCs w:val="28"/>
        </w:rPr>
        <w:t>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  <w:r w:rsidR="00EC00AC">
        <w:rPr>
          <w:rFonts w:ascii="Times New Roman" w:hAnsi="Times New Roman"/>
          <w:sz w:val="28"/>
          <w:szCs w:val="28"/>
        </w:rPr>
        <w:t xml:space="preserve"> </w:t>
      </w:r>
    </w:p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1280" w:type="dxa"/>
        <w:jc w:val="right"/>
        <w:tblInd w:w="-885" w:type="dxa"/>
        <w:tblLook w:val="01E0"/>
      </w:tblPr>
      <w:tblGrid>
        <w:gridCol w:w="885"/>
        <w:gridCol w:w="93"/>
        <w:gridCol w:w="2283"/>
        <w:gridCol w:w="1416"/>
        <w:gridCol w:w="2837"/>
        <w:gridCol w:w="1559"/>
        <w:gridCol w:w="114"/>
        <w:gridCol w:w="1587"/>
        <w:gridCol w:w="370"/>
        <w:gridCol w:w="136"/>
      </w:tblGrid>
      <w:tr w:rsidR="00253544" w:rsidTr="00901A4C">
        <w:trPr>
          <w:gridBefore w:val="1"/>
          <w:gridAfter w:val="1"/>
          <w:wBefore w:w="885" w:type="dxa"/>
          <w:wAfter w:w="136" w:type="dxa"/>
          <w:trHeight w:val="233"/>
          <w:jc w:val="right"/>
        </w:trPr>
        <w:tc>
          <w:tcPr>
            <w:tcW w:w="10259" w:type="dxa"/>
            <w:gridSpan w:val="8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СОБРАНИЕ ДЕПУТАТОВ                                       </w:t>
            </w:r>
            <w:r>
              <w:rPr>
                <w:b/>
                <w:sz w:val="20"/>
                <w:szCs w:val="20"/>
              </w:rPr>
              <w:t>ПРОЕКТ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253544" w:rsidRDefault="00253544" w:rsidP="001E3ABF">
            <w:pPr>
              <w:pStyle w:val="a6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ламаздино</w:t>
            </w:r>
            <w:proofErr w:type="spellEnd"/>
          </w:p>
          <w:p w:rsidR="00253544" w:rsidRDefault="00253544" w:rsidP="001E3ABF">
            <w:pPr>
              <w:spacing w:after="0"/>
              <w:rPr>
                <w:b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b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Курской области на 2023 год и на плановый период 2024 и 2025 годов</w:t>
            </w:r>
          </w:p>
          <w:p w:rsidR="00253544" w:rsidRDefault="00253544" w:rsidP="001E3ABF">
            <w:pPr>
              <w:spacing w:after="0"/>
              <w:ind w:right="5491"/>
              <w:jc w:val="both"/>
              <w:rPr>
                <w:b/>
                <w:sz w:val="24"/>
                <w:szCs w:val="24"/>
              </w:rPr>
            </w:pPr>
          </w:p>
          <w:p w:rsidR="00253544" w:rsidRDefault="00253544" w:rsidP="001E3ABF">
            <w:pPr>
              <w:spacing w:after="0"/>
              <w:ind w:firstLine="56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соответствии с Бюджетным кодексом Российской Федерации, Федеральным законом от 06.10.2003</w:t>
            </w:r>
            <w:r>
              <w:rPr>
                <w:color w:val="FFFFFF"/>
                <w:sz w:val="25"/>
                <w:szCs w:val="25"/>
              </w:rPr>
              <w:t>_</w:t>
            </w:r>
            <w:r>
              <w:rPr>
                <w:sz w:val="25"/>
                <w:szCs w:val="25"/>
              </w:rPr>
              <w:t>г. №131-ФЗ “Об общих принципах организации местного самоуправления в Российской Федерации”, Уставом муниципального образования “</w:t>
            </w:r>
            <w:proofErr w:type="spellStart"/>
            <w:r>
              <w:rPr>
                <w:sz w:val="25"/>
                <w:szCs w:val="25"/>
              </w:rPr>
              <w:t>Гламаздинский</w:t>
            </w:r>
            <w:proofErr w:type="spellEnd"/>
            <w:r>
              <w:rPr>
                <w:sz w:val="25"/>
                <w:szCs w:val="25"/>
              </w:rPr>
              <w:t xml:space="preserve"> сельсовет”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</w:t>
            </w:r>
          </w:p>
          <w:p w:rsidR="00253544" w:rsidRDefault="00253544" w:rsidP="001E3ABF">
            <w:pPr>
              <w:spacing w:after="0"/>
              <w:ind w:left="532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1. Основные характеристики  бюджета </w:t>
            </w:r>
            <w:proofErr w:type="spellStart"/>
            <w:r>
              <w:rPr>
                <w:b/>
                <w:sz w:val="25"/>
                <w:szCs w:val="25"/>
              </w:rPr>
              <w:t>Гламаздинского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/>
                <w:sz w:val="25"/>
                <w:szCs w:val="25"/>
              </w:rPr>
              <w:t>Хомутовского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района Курской области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Утвердить основные характеристики местного бюджета на 2023 год: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прогнозируемый общий объем доходов местного бюджета в сумме 4 137 461,00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общий объем расходов местного бюджета в сумме 4 137 461,00 рублей.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2023 год в сумме 0 рублей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Утвердить основные характеристики местного бюджета на 2024 и 2025 годы: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прогнозируемый общий объем доходов местного бюджета на 2024 год в сумме 3 078 686,00 рублей, на 2025 год в сумме 3 098 022,00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общий объем расходов местного бюджета в сумме на 2024 год 3 078 686,00 рублей, в том числе условно утвержденные расходы в сумме 74 035,00 рублей, на 2025 год в сумме 3 098 022,00 рублей, в том числе условно утвержденные расходы в сумме 148 824,00 рублей;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2024 год в сумме 0 рублей, дефицит (</w:t>
            </w:r>
            <w:proofErr w:type="spellStart"/>
            <w:r>
              <w:rPr>
                <w:sz w:val="25"/>
                <w:szCs w:val="25"/>
              </w:rPr>
              <w:t>профицит</w:t>
            </w:r>
            <w:proofErr w:type="spellEnd"/>
            <w:r>
              <w:rPr>
                <w:sz w:val="25"/>
                <w:szCs w:val="25"/>
              </w:rPr>
              <w:t>) местного бюджета на 2025 год в сумме 0 рублей.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2. Источники финансирования дефицита местного бюджета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1.Установить и</w:t>
            </w:r>
            <w:r>
              <w:rPr>
                <w:bCs/>
                <w:color w:val="000000"/>
                <w:sz w:val="25"/>
                <w:szCs w:val="25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253544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253544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253544" w:rsidRDefault="00253544" w:rsidP="001E3ABF">
                        <w:pPr>
                          <w:spacing w:after="0"/>
                          <w:jc w:val="both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бюджета </w:t>
                        </w:r>
                        <w:proofErr w:type="spellStart"/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Гламаздинского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сельсовета </w:t>
                        </w:r>
                        <w:proofErr w:type="spellStart"/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Хомутовского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района Курской области на 2023 год</w:t>
                        </w:r>
                        <w:r>
                          <w:rPr>
                            <w:sz w:val="25"/>
                            <w:szCs w:val="25"/>
                          </w:rPr>
                          <w:t xml:space="preserve"> и  на плановый период 2024 и 2025 годов согласно приложению № 1 к настоящему Решению;</w:t>
                        </w:r>
                      </w:p>
                    </w:tc>
                  </w:tr>
                </w:tbl>
                <w:p w:rsidR="00253544" w:rsidRDefault="00253544" w:rsidP="001E3ABF">
                  <w:pPr>
                    <w:spacing w:after="0"/>
                  </w:pPr>
                </w:p>
              </w:tc>
            </w:tr>
          </w:tbl>
          <w:p w:rsidR="00253544" w:rsidRDefault="00253544" w:rsidP="001E3A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3. Особенности администрирования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Установить, что средства, поступающие получателям бюджетных сре</w:t>
            </w:r>
            <w:proofErr w:type="gramStart"/>
            <w:r>
              <w:rPr>
                <w:sz w:val="25"/>
                <w:szCs w:val="25"/>
              </w:rPr>
              <w:t>дств в п</w:t>
            </w:r>
            <w:proofErr w:type="gramEnd"/>
            <w:r>
              <w:rPr>
                <w:sz w:val="25"/>
                <w:szCs w:val="25"/>
              </w:rPr>
              <w:t>огашение дебиторской задолженности прошлых лет, в полном объеме зачисляются в доход местного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 4 .Прогнозируемое поступление доходов местного бюджета в 2023 году и в плановом периоде 2024 и 2025 годов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</w:t>
            </w:r>
            <w:r>
              <w:rPr>
                <w:sz w:val="25"/>
                <w:szCs w:val="25"/>
              </w:rPr>
              <w:t>Утвердить прогнозируемое поступление доходов в местный бюджет в 2023 году и на плановый период 2024 и 2025 годов согласно приложению № 2 к настоящему Решению;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5. Бюджетные ассигнования местного бюджета на 2023 год и на плановый период 2024 и 2025 годов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1.  Утвердить р</w:t>
            </w:r>
            <w:r>
              <w:rPr>
                <w:bCs/>
                <w:color w:val="000000"/>
                <w:sz w:val="25"/>
                <w:szCs w:val="25"/>
              </w:rPr>
              <w:t xml:space="preserve">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</w:t>
            </w:r>
            <w:proofErr w:type="gramStart"/>
            <w:r>
              <w:rPr>
                <w:bCs/>
                <w:color w:val="000000"/>
                <w:sz w:val="25"/>
                <w:szCs w:val="25"/>
              </w:rPr>
              <w:t>видов расходов классификации расходов бюджета</w:t>
            </w:r>
            <w:proofErr w:type="gramEnd"/>
            <w:r>
              <w:rPr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№3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2.  Утвердить в</w:t>
            </w:r>
            <w:r>
              <w:rPr>
                <w:bCs/>
                <w:color w:val="000000"/>
                <w:sz w:val="25"/>
                <w:szCs w:val="25"/>
              </w:rPr>
              <w:t xml:space="preserve">едомственную структуру расходов бюджета 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№4 к настоящему Решению;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3. Утвердить </w:t>
            </w:r>
            <w:r>
              <w:rPr>
                <w:bCs/>
                <w:color w:val="000000"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района Курской области и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</w:t>
            </w:r>
            <w:proofErr w:type="gramStart"/>
            <w:r>
              <w:rPr>
                <w:bCs/>
                <w:color w:val="000000"/>
                <w:sz w:val="25"/>
                <w:szCs w:val="25"/>
              </w:rPr>
              <w:t>видов расходов классификации расходов бюджета</w:t>
            </w:r>
            <w:proofErr w:type="gramEnd"/>
            <w:r>
              <w:rPr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2023 год и на плановый период 2024 и 2025 годов согласно приложению № 5 к настоящему Решению;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4.  Утвердить объем межбюджетных трансфертов </w:t>
            </w:r>
            <w:r>
              <w:rPr>
                <w:color w:val="000000"/>
                <w:sz w:val="25"/>
                <w:szCs w:val="25"/>
              </w:rPr>
              <w:t>предоставляемых</w:t>
            </w:r>
            <w:r>
              <w:rPr>
                <w:rFonts w:ascii="Tahoma" w:hAnsi="Tahoma" w:cs="Tahoma"/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из бюджета муниципального образования «</w:t>
            </w:r>
            <w:proofErr w:type="spellStart"/>
            <w:r>
              <w:rPr>
                <w:color w:val="000000"/>
                <w:sz w:val="25"/>
                <w:szCs w:val="25"/>
              </w:rPr>
              <w:t>Гламаздинский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 сельсовет»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 бюджету муниципального района «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Хомутовский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район» Курской области на осуществление внутреннего и внешнего муниципального финансового контроля  на 2023 год в сумме 5475,00 рублей, на 2024 год в сумме 5475,00 рублей, на 2025 год 5475,00 рублей.</w:t>
            </w:r>
          </w:p>
          <w:p w:rsidR="00253544" w:rsidRDefault="00253544" w:rsidP="001E3ABF">
            <w:pPr>
              <w:spacing w:after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 xml:space="preserve">     5.  </w:t>
            </w:r>
            <w:proofErr w:type="gramStart"/>
            <w:r>
              <w:rPr>
                <w:sz w:val="25"/>
                <w:szCs w:val="25"/>
              </w:rPr>
              <w:t>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      </w:r>
            <w:proofErr w:type="gramEnd"/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6. Администрация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 Курской области вправе  вносить в 2023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1) передачей полномочий по финансированию отдельных учреждений, мероприятий или расходов; 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2) передачей органам местного самоуправления </w:t>
            </w:r>
            <w:proofErr w:type="gramStart"/>
            <w:r>
              <w:rPr>
                <w:sz w:val="25"/>
                <w:szCs w:val="25"/>
              </w:rPr>
              <w:t>части полномочий органов исполнительной  власти района</w:t>
            </w:r>
            <w:proofErr w:type="gramEnd"/>
            <w:r>
              <w:rPr>
                <w:sz w:val="25"/>
                <w:szCs w:val="25"/>
              </w:rPr>
              <w:t xml:space="preserve">; 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3)  реорганизацией или преобразованием муниципальных учреждений;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4) распределением по бюджетополучателям средств местного бюджета  межбюджетных трансфертов, имеющих целевой характер;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 в </w:t>
            </w:r>
            <w:proofErr w:type="gramStart"/>
            <w:r>
              <w:rPr>
                <w:sz w:val="25"/>
                <w:szCs w:val="25"/>
              </w:rPr>
              <w:t>порядке</w:t>
            </w:r>
            <w:proofErr w:type="gramEnd"/>
            <w:r>
              <w:rPr>
                <w:sz w:val="25"/>
                <w:szCs w:val="25"/>
              </w:rPr>
              <w:t xml:space="preserve"> установленном Администрацией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области;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6) поступлением целевых добровольных взносов и пожертвований от физических и юридических лиц. </w:t>
            </w:r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6. Особенности исполнения местного бюджета в 2023 году</w:t>
            </w: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Муниципальные казенные учреждения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могут осуществлять платные услуги и иную приносящую доход деятельность, только если такое право предусмотрено в его учредительных документах. </w:t>
            </w:r>
            <w:proofErr w:type="gramStart"/>
            <w:r>
              <w:rPr>
                <w:sz w:val="25"/>
                <w:szCs w:val="25"/>
              </w:rPr>
              <w:t>Доходы, полученные от указанной деятельности, поступают в местной бюджет.</w:t>
            </w:r>
            <w:proofErr w:type="gramEnd"/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Остатки средств местного бюджета по состоянию на 1 января 2023 года на счете местного бюджета, образовавшиеся в связи с неполным использованием получателями </w:t>
            </w:r>
            <w:r>
              <w:rPr>
                <w:sz w:val="25"/>
                <w:szCs w:val="25"/>
              </w:rPr>
              <w:lastRenderedPageBreak/>
              <w:t xml:space="preserve">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</w:t>
            </w:r>
            <w:proofErr w:type="gramStart"/>
            <w:r>
              <w:rPr>
                <w:sz w:val="25"/>
                <w:szCs w:val="25"/>
              </w:rPr>
              <w:t>на те</w:t>
            </w:r>
            <w:proofErr w:type="gramEnd"/>
            <w:r>
              <w:rPr>
                <w:sz w:val="25"/>
                <w:szCs w:val="25"/>
              </w:rPr>
              <w:t xml:space="preserve"> же цели в качестве дополнительного источника.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 Установить, что получатель средств местного бюджета вправе предусматривать авансовые платежи: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а) 100 процентов суммы договора (муниципального контракта) – по договорам (контрактам):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  <w:proofErr w:type="gramEnd"/>
          </w:p>
          <w:p w:rsidR="00253544" w:rsidRDefault="00253544" w:rsidP="001E3ABF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color w:val="FF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4. Предоставить право Администрации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>
              <w:rPr>
                <w:color w:val="FF0000"/>
                <w:sz w:val="25"/>
                <w:szCs w:val="25"/>
              </w:rPr>
              <w:t>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Органы местного самоуправления не вправе принимать решения, приводящие к увеличению в 2023 году численности муниципальных служащих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и работников муниципальных казенных учреждений.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8. Осуществление расходов, не предусмотренных бюджетом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proofErr w:type="gramStart"/>
            <w:r>
              <w:rPr>
                <w:sz w:val="25"/>
                <w:szCs w:val="25"/>
              </w:rPr>
              <w:t xml:space="preserve">При принятии решения либо другого нормативного правового акта 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      </w:r>
            <w:proofErr w:type="gramEnd"/>
            <w:r>
              <w:rPr>
                <w:sz w:val="25"/>
                <w:szCs w:val="25"/>
              </w:rPr>
              <w:t xml:space="preserve"> ресурсов на новые виды расходных обязательств в местные </w:t>
            </w:r>
            <w:r>
              <w:rPr>
                <w:sz w:val="25"/>
                <w:szCs w:val="25"/>
              </w:rPr>
              <w:lastRenderedPageBreak/>
              <w:t>бюджеты.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</w:t>
            </w:r>
            <w:proofErr w:type="gramStart"/>
            <w:r>
              <w:rPr>
                <w:sz w:val="25"/>
                <w:szCs w:val="25"/>
              </w:rPr>
      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      </w:r>
            <w:proofErr w:type="gramEnd"/>
            <w:r>
              <w:rPr>
                <w:sz w:val="25"/>
                <w:szCs w:val="25"/>
              </w:rPr>
              <w:t xml:space="preserve"> </w:t>
            </w:r>
            <w:proofErr w:type="gramStart"/>
            <w:r>
              <w:rPr>
                <w:sz w:val="25"/>
                <w:szCs w:val="25"/>
              </w:rPr>
              <w:t>сокращении</w:t>
            </w:r>
            <w:proofErr w:type="gramEnd"/>
            <w:r>
              <w:rPr>
                <w:sz w:val="25"/>
                <w:szCs w:val="25"/>
              </w:rPr>
              <w:t xml:space="preserve"> бюджетных ассигнований по отдельным статьям расходов бюджета.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Статья 9. Муниципальный долг </w:t>
            </w:r>
            <w:proofErr w:type="spellStart"/>
            <w:r>
              <w:rPr>
                <w:b/>
                <w:sz w:val="25"/>
                <w:szCs w:val="25"/>
              </w:rPr>
              <w:t>Гламаздинского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b/>
                <w:sz w:val="25"/>
                <w:szCs w:val="25"/>
              </w:rPr>
              <w:t>Хомутовского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района Курской области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Объем муниципального долга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 при осуществлении муниципальных заимствований не должен превышать следующие значения</w:t>
            </w:r>
            <w:r>
              <w:rPr>
                <w:sz w:val="25"/>
                <w:szCs w:val="25"/>
              </w:rPr>
              <w:t>: в 2023 году до 2 541 735  рублей, в 2024 году до 2 610 089 рублей, в 2025 году до 2 653 453 рублей.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Установить верхний предел муниципального внутреннего долга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>
              <w:rPr>
                <w:sz w:val="25"/>
                <w:szCs w:val="25"/>
              </w:rPr>
              <w:t xml:space="preserve"> на 1 января 2024 года по долговым обязательствам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>
              <w:rPr>
                <w:sz w:val="25"/>
                <w:szCs w:val="25"/>
              </w:rPr>
              <w:t xml:space="preserve"> в сумме  0  рублей, в том числе по муниципальным гарантиям –  0 рублей.</w:t>
            </w:r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2025 года по долговым обязательствам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  <w:p w:rsidR="00253544" w:rsidRDefault="00253544" w:rsidP="001E3ABF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Установить верхний предел муниципального долга на 1 января 2026 года по долговым обязательствам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  <w:p w:rsidR="00253544" w:rsidRDefault="00253544" w:rsidP="001E3AB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3. Утвердить </w:t>
            </w:r>
            <w:hyperlink r:id="rId5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внутренних заимствований </w:t>
            </w:r>
            <w:proofErr w:type="spellStart"/>
            <w:r>
              <w:rPr>
                <w:color w:val="000000"/>
                <w:sz w:val="25"/>
                <w:szCs w:val="25"/>
              </w:rPr>
              <w:t>Гламаздинского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 на 2023 год согласно приложению № 6 к настоящему Решению, на плановый период 2024 и 2025 годов согласно приложению №7 к настоящему Решению.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4. Утвердить </w:t>
            </w:r>
            <w:hyperlink r:id="rId6" w:history="1">
              <w:r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>
              <w:rPr>
                <w:color w:val="000000"/>
                <w:sz w:val="25"/>
                <w:szCs w:val="25"/>
              </w:rPr>
              <w:t xml:space="preserve"> муниципальных гарантий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 2023 год согласно приложению № 8 к настоящему Решению, на плановый период 2024 и 2025 годов согласно приложению № 9 к настоящему Решению.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10. Привлечение бюджетных кредитов и кредитов кредитных организаций</w:t>
            </w:r>
          </w:p>
          <w:p w:rsidR="00253544" w:rsidRDefault="00253544" w:rsidP="001E3ABF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в 2023 году: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</w:t>
            </w:r>
            <w:r>
              <w:rPr>
                <w:sz w:val="25"/>
                <w:szCs w:val="25"/>
              </w:rPr>
              <w:lastRenderedPageBreak/>
              <w:t xml:space="preserve">доходов, погашение долговых обязательств </w:t>
            </w:r>
            <w:proofErr w:type="spellStart"/>
            <w:r>
              <w:rPr>
                <w:sz w:val="25"/>
                <w:szCs w:val="25"/>
              </w:rPr>
              <w:t>Гламаздинского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и на пополнение остатков средств на счете местного бюджета;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Статья 11. Вступление в силу настоящего Решения</w:t>
            </w: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Настоящее Решение вступает в силу с 1 января 2023 года  и подлежит официальному опубликованию в газете «Районные новости» и на официальном сайте муниципального образования «</w:t>
            </w:r>
            <w:proofErr w:type="spellStart"/>
            <w:r>
              <w:rPr>
                <w:sz w:val="25"/>
                <w:szCs w:val="25"/>
              </w:rPr>
              <w:t>Гламаздинский</w:t>
            </w:r>
            <w:proofErr w:type="spellEnd"/>
            <w:r>
              <w:rPr>
                <w:sz w:val="25"/>
                <w:szCs w:val="25"/>
              </w:rPr>
              <w:t xml:space="preserve"> сельсовет» </w:t>
            </w:r>
            <w:proofErr w:type="spellStart"/>
            <w:r>
              <w:rPr>
                <w:sz w:val="25"/>
                <w:szCs w:val="25"/>
              </w:rPr>
              <w:t>Хомутовского</w:t>
            </w:r>
            <w:proofErr w:type="spellEnd"/>
            <w:r>
              <w:rPr>
                <w:sz w:val="25"/>
                <w:szCs w:val="25"/>
              </w:rPr>
              <w:t xml:space="preserve"> района Курской области </w:t>
            </w:r>
            <w:hyperlink r:id="rId7" w:history="1">
              <w:r>
                <w:rPr>
                  <w:rStyle w:val="af0"/>
                  <w:sz w:val="25"/>
                  <w:szCs w:val="25"/>
                  <w:lang w:val="en-US"/>
                </w:rPr>
                <w:t>http</w:t>
              </w:r>
              <w:r>
                <w:rPr>
                  <w:rStyle w:val="af0"/>
                  <w:sz w:val="25"/>
                  <w:szCs w:val="25"/>
                </w:rPr>
                <w:t>://</w:t>
              </w:r>
              <w:proofErr w:type="spellStart"/>
              <w:r>
                <w:rPr>
                  <w:rStyle w:val="af0"/>
                  <w:sz w:val="25"/>
                  <w:szCs w:val="25"/>
                </w:rPr>
                <w:t>гламаздинский.рф</w:t>
              </w:r>
              <w:proofErr w:type="spellEnd"/>
            </w:hyperlink>
            <w:r>
              <w:rPr>
                <w:sz w:val="25"/>
                <w:szCs w:val="25"/>
              </w:rPr>
              <w:t xml:space="preserve"> в сети «Интернет».</w:t>
            </w: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Председатель Собрания депутатов</w:t>
            </w: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Гламаздинского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Хомутовского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района Курской области     __________________       </w:t>
            </w:r>
            <w:proofErr w:type="spellStart"/>
            <w:r>
              <w:rPr>
                <w:b/>
                <w:sz w:val="25"/>
                <w:szCs w:val="25"/>
              </w:rPr>
              <w:t>М.Н.Залюбовская</w:t>
            </w:r>
            <w:proofErr w:type="spellEnd"/>
          </w:p>
          <w:p w:rsidR="00253544" w:rsidRDefault="00253544" w:rsidP="001E3ABF">
            <w:pPr>
              <w:spacing w:after="0"/>
              <w:rPr>
                <w:sz w:val="25"/>
                <w:szCs w:val="25"/>
              </w:rPr>
            </w:pP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Глава </w:t>
            </w:r>
            <w:proofErr w:type="spellStart"/>
            <w:r>
              <w:rPr>
                <w:b/>
                <w:sz w:val="25"/>
                <w:szCs w:val="25"/>
              </w:rPr>
              <w:t>Гламаздинского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сельсовета</w:t>
            </w:r>
          </w:p>
          <w:p w:rsidR="00253544" w:rsidRDefault="00253544" w:rsidP="001E3ABF">
            <w:pPr>
              <w:spacing w:after="0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Хомутовского</w:t>
            </w:r>
            <w:proofErr w:type="spellEnd"/>
            <w:r>
              <w:rPr>
                <w:b/>
                <w:sz w:val="25"/>
                <w:szCs w:val="25"/>
              </w:rPr>
              <w:t xml:space="preserve"> района   Курской области     __________________        </w:t>
            </w:r>
            <w:r w:rsidR="001E3ABF">
              <w:rPr>
                <w:b/>
                <w:sz w:val="25"/>
                <w:szCs w:val="25"/>
              </w:rPr>
              <w:t>О.А.Козодаева</w:t>
            </w: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253544" w:rsidRDefault="00253544" w:rsidP="001E3ABF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901A4C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:rsidR="00901A4C" w:rsidRDefault="00901A4C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01A4C" w:rsidRDefault="00901A4C" w:rsidP="001E3ABF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1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325"/>
          <w:jc w:val="right"/>
        </w:trPr>
        <w:tc>
          <w:tcPr>
            <w:tcW w:w="10259" w:type="dxa"/>
            <w:gridSpan w:val="8"/>
            <w:hideMark/>
          </w:tcPr>
          <w:p w:rsidR="00253544" w:rsidRDefault="00253544" w:rsidP="001E3A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Собрания депутатов 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«___ » __________   2022г №______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        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2023 год и плановый период 2024 и 2025 годов»</w:t>
            </w:r>
          </w:p>
          <w:p w:rsidR="00253544" w:rsidRDefault="00253544" w:rsidP="001E3AB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1.Источники внутреннего финансирования дефицита</w:t>
            </w:r>
          </w:p>
        </w:tc>
      </w:tr>
      <w:tr w:rsidR="00253544" w:rsidTr="00901A4C">
        <w:trPr>
          <w:gridBefore w:val="1"/>
          <w:gridAfter w:val="1"/>
          <w:wBefore w:w="885" w:type="dxa"/>
          <w:wAfter w:w="136" w:type="dxa"/>
          <w:trHeight w:val="250"/>
          <w:jc w:val="right"/>
        </w:trPr>
        <w:tc>
          <w:tcPr>
            <w:tcW w:w="10259" w:type="dxa"/>
            <w:gridSpan w:val="8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бюджета </w:t>
            </w:r>
            <w:proofErr w:type="spellStart"/>
            <w:r>
              <w:rPr>
                <w:b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  </w:t>
            </w:r>
          </w:p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2023 год </w:t>
            </w:r>
          </w:p>
        </w:tc>
      </w:tr>
      <w:tr w:rsidR="00253544" w:rsidTr="00901A4C">
        <w:trPr>
          <w:gridBefore w:val="2"/>
          <w:wBefore w:w="978" w:type="dxa"/>
          <w:trHeight w:val="373"/>
          <w:jc w:val="right"/>
        </w:trPr>
        <w:tc>
          <w:tcPr>
            <w:tcW w:w="3699" w:type="dxa"/>
            <w:gridSpan w:val="2"/>
            <w:noWrap/>
            <w:vAlign w:val="bottom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0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-4 137 461,00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прочих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000 01  05  02  01  00  0000  510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000 01  05  02  01  10  0000  510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остатков средств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Уменьшение прочих остатков средств </w:t>
            </w:r>
            <w:r>
              <w:lastRenderedPageBreak/>
              <w:t>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lastRenderedPageBreak/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lastRenderedPageBreak/>
              <w:t>000 01  05  02  01  00  0000  610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прочих остатков денежных средств 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000 01  05  02  01  10  0000  610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</w:pPr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4 137 461,00</w:t>
            </w:r>
          </w:p>
        </w:tc>
      </w:tr>
      <w:tr w:rsidR="00253544" w:rsidTr="00901A4C">
        <w:trPr>
          <w:gridBefore w:val="2"/>
          <w:wBefore w:w="978" w:type="dxa"/>
          <w:trHeight w:val="20"/>
          <w:jc w:val="right"/>
        </w:trPr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 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405"/>
        </w:trPr>
        <w:tc>
          <w:tcPr>
            <w:tcW w:w="9073" w:type="dxa"/>
            <w:gridSpan w:val="6"/>
            <w:noWrap/>
            <w:vAlign w:val="center"/>
            <w:hideMark/>
          </w:tcPr>
          <w:p w:rsidR="00253544" w:rsidRDefault="00253544" w:rsidP="00901A4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2.Источники внутреннего финансирования дефицита</w:t>
            </w:r>
          </w:p>
        </w:tc>
        <w:tc>
          <w:tcPr>
            <w:tcW w:w="1701" w:type="dxa"/>
            <w:gridSpan w:val="2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1269"/>
        </w:trPr>
        <w:tc>
          <w:tcPr>
            <w:tcW w:w="9073" w:type="dxa"/>
            <w:gridSpan w:val="6"/>
            <w:noWrap/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бюджета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</w:t>
            </w:r>
            <w:proofErr w:type="gramStart"/>
            <w:r>
              <w:rPr>
                <w:b/>
                <w:bCs/>
                <w:color w:val="000000"/>
              </w:rPr>
              <w:t>Курской</w:t>
            </w:r>
            <w:proofErr w:type="gramEnd"/>
          </w:p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на плановый период 2024 и 2025 годов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области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375"/>
        </w:trPr>
        <w:tc>
          <w:tcPr>
            <w:tcW w:w="3261" w:type="dxa"/>
            <w:gridSpan w:val="3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noWrap/>
            <w:vAlign w:val="bottom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701" w:type="dxa"/>
            <w:gridSpan w:val="2"/>
            <w:hideMark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 xml:space="preserve">000  01  03  01  00 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 0000 000</w:t>
            </w:r>
          </w:p>
          <w:p w:rsidR="00253544" w:rsidRDefault="00253544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 </w:t>
            </w:r>
          </w:p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000 01  03  01  00 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>
              <w:rPr>
                <w:color w:val="000000"/>
              </w:rPr>
              <w:t xml:space="preserve">  0000  700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>000 01  03  01  00  10  0000  710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253544" w:rsidRDefault="00253544">
            <w:pPr>
              <w:jc w:val="center"/>
              <w:rPr>
                <w:bCs/>
              </w:rPr>
            </w:pPr>
          </w:p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000 01  05  00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 0000  000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        0,00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0000  500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000 01  05  02  01  00  0000  510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 xml:space="preserve">Увеличение прочих остатков денежных </w:t>
            </w:r>
            <w:r>
              <w:lastRenderedPageBreak/>
              <w:t>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lastRenderedPageBreak/>
              <w:t>-3 078 686,00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lastRenderedPageBreak/>
              <w:t>000 01  05  02  01  10  0000  510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-3 098 022,00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000 01  05  00  </w:t>
            </w:r>
            <w:proofErr w:type="spellStart"/>
            <w:r>
              <w:t>00</w:t>
            </w:r>
            <w:proofErr w:type="spellEnd"/>
            <w:r>
              <w:t xml:space="preserve">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 xml:space="preserve">000 01  05  02  00  </w:t>
            </w:r>
            <w:proofErr w:type="spellStart"/>
            <w:r>
              <w:t>00</w:t>
            </w:r>
            <w:proofErr w:type="spellEnd"/>
            <w:r>
              <w:t xml:space="preserve">  0000  600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000 01  05  02  01  00  0000  610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</w:pPr>
            <w:r>
              <w:t>000 01  05  02  01  10  0000  610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3 078 686,00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t>3 098 022,00</w:t>
            </w:r>
          </w:p>
        </w:tc>
      </w:tr>
      <w:tr w:rsidR="00253544" w:rsidTr="00901A4C">
        <w:tblPrEx>
          <w:jc w:val="left"/>
          <w:tblLook w:val="04A0"/>
        </w:tblPrEx>
        <w:trPr>
          <w:gridAfter w:val="2"/>
          <w:wAfter w:w="506" w:type="dxa"/>
          <w:trHeight w:val="2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  <w:p w:rsidR="00253544" w:rsidRDefault="00253544">
            <w:pPr>
              <w:jc w:val="center"/>
            </w:pPr>
          </w:p>
          <w:p w:rsidR="00253544" w:rsidRDefault="00253544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253544" w:rsidTr="00253544">
        <w:trPr>
          <w:trHeight w:val="250"/>
          <w:jc w:val="right"/>
        </w:trPr>
        <w:tc>
          <w:tcPr>
            <w:tcW w:w="9714" w:type="dxa"/>
            <w:gridSpan w:val="3"/>
          </w:tcPr>
          <w:p w:rsidR="00253544" w:rsidRDefault="00253544" w:rsidP="001E3AB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Приложение №2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 собрания депутатов 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«___»__________2022г №_____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53544" w:rsidRDefault="00253544" w:rsidP="001E3ABF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2023 год и плановый период 2024 и 2025годов</w:t>
            </w:r>
          </w:p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trHeight w:val="341"/>
          <w:jc w:val="right"/>
        </w:trPr>
        <w:tc>
          <w:tcPr>
            <w:tcW w:w="9714" w:type="dxa"/>
            <w:gridSpan w:val="3"/>
          </w:tcPr>
          <w:p w:rsidR="00253544" w:rsidRDefault="00253544">
            <w:pPr>
              <w:rPr>
                <w:sz w:val="20"/>
                <w:szCs w:val="20"/>
              </w:rPr>
            </w:pP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253544" w:rsidTr="00253544">
        <w:trPr>
          <w:gridBefore w:val="1"/>
          <w:gridAfter w:val="1"/>
          <w:wBefore w:w="93" w:type="dxa"/>
          <w:wAfter w:w="250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 2023 год и плановый период 2024 и 2025 годов</w:t>
            </w:r>
          </w:p>
        </w:tc>
      </w:tr>
    </w:tbl>
    <w:p w:rsidR="00253544" w:rsidRDefault="00253544" w:rsidP="00253544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4A0"/>
      </w:tblPr>
      <w:tblGrid>
        <w:gridCol w:w="10344"/>
      </w:tblGrid>
      <w:tr w:rsidR="00253544" w:rsidTr="00253544">
        <w:trPr>
          <w:trHeight w:val="345"/>
        </w:trPr>
        <w:tc>
          <w:tcPr>
            <w:tcW w:w="10334" w:type="dxa"/>
            <w:noWrap/>
            <w:vAlign w:val="bottom"/>
          </w:tcPr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 w:rsidRPr="00253544">
              <w:rPr>
                <w:sz w:val="20"/>
                <w:szCs w:val="20"/>
              </w:rPr>
              <w:t>(рублей)</w:t>
            </w:r>
          </w:p>
          <w:tbl>
            <w:tblPr>
              <w:tblW w:w="10118" w:type="dxa"/>
              <w:tblLook w:val="04A0"/>
            </w:tblPr>
            <w:tblGrid>
              <w:gridCol w:w="2285"/>
              <w:gridCol w:w="3722"/>
              <w:gridCol w:w="1417"/>
              <w:gridCol w:w="1276"/>
              <w:gridCol w:w="1418"/>
            </w:tblGrid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Наименование доходов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2023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2024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Сумма  на 2025 год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2 541 735,00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2 610 089,00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2 653 453,00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134 865,00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177 697,00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134 865,00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177 697,00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anchor="dst3019" w:history="1">
                    <w:r w:rsidRPr="00253544">
                      <w:t>статьями 227</w:t>
                    </w:r>
                  </w:hyperlink>
                  <w:r w:rsidRPr="00253544">
                    <w:t xml:space="preserve">, </w:t>
                  </w:r>
                  <w:hyperlink r:id="rId9" w:anchor="dst10877" w:history="1">
                    <w:r w:rsidRPr="00253544">
                      <w:t>227.1</w:t>
                    </w:r>
                  </w:hyperlink>
                  <w:r w:rsidRPr="00253544">
                    <w:t xml:space="preserve"> и </w:t>
                  </w:r>
                  <w:hyperlink r:id="rId10" w:anchor="dst101491" w:history="1">
                    <w:r w:rsidRPr="00253544">
                      <w:t>228</w:t>
                    </w:r>
                  </w:hyperlink>
                  <w:r w:rsidRPr="00253544">
                    <w:t xml:space="preserve"> Налогового кодекса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132 806,00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165 086,00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175 638,00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2059,00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2059,00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2059,00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784 222,00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853 108,00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784 222,00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853 108,00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784 222,00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853 108,00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939 268,00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939 268,00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939 268,00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1 06 01000 00 0000 110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55 196,00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884 072,00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500 676,00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383 396,00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      </w:r>
                  <w:proofErr w:type="gramStart"/>
                  <w:r w:rsidRPr="00253544">
                    <w:rPr>
                      <w:sz w:val="20"/>
                      <w:szCs w:val="20"/>
                    </w:rPr>
                    <w:t>в(</w:t>
                  </w:r>
                  <w:proofErr w:type="gramEnd"/>
                  <w:r w:rsidRPr="00253544">
                    <w:rPr>
                      <w:sz w:val="20"/>
                      <w:szCs w:val="20"/>
                    </w:rPr>
                    <w:t>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</w:tc>
            </w:tr>
            <w:tr w:rsidR="00253544" w:rsidTr="001E3ABF">
              <w:trPr>
                <w:trHeight w:val="1601"/>
              </w:trPr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1 11 05025 10 0000 120</w:t>
                  </w: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253544">
                    <w:lastRenderedPageBreak/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      </w:r>
                  <w:r w:rsidRPr="00253544">
                    <w:lastRenderedPageBreak/>
                    <w:t>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683 380,00</w:t>
                  </w: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683 380,00</w:t>
                  </w: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>683 380,00</w:t>
                  </w: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1 595 726,00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468 597,00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444 569,00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1 595 726,00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468 597,00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444 569,00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501 493,00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323 029,00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323 029,00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323 029,00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12 1540,00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121 540,00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121 540,00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 xml:space="preserve">   2 02 40000 00 0000 150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982 107,00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lastRenderedPageBreak/>
                    <w:t xml:space="preserve">   2 02 40014 00 0000 150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982 107,00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2 02 40014 10 0000 150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982 107,00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253544" w:rsidTr="001E3ABF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8 50 00000 00 0000 000</w:t>
                  </w:r>
                </w:p>
              </w:tc>
              <w:tc>
                <w:tcPr>
                  <w:tcW w:w="3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Доходы бюджета – 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4 137 461,00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3 078 686,00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53544" w:rsidRPr="00253544" w:rsidRDefault="00253544" w:rsidP="00253544">
                  <w:pPr>
                    <w:jc w:val="center"/>
                    <w:rPr>
                      <w:sz w:val="20"/>
                      <w:szCs w:val="20"/>
                    </w:rPr>
                  </w:pPr>
                  <w:r w:rsidRPr="00253544">
                    <w:rPr>
                      <w:sz w:val="20"/>
                      <w:szCs w:val="20"/>
                    </w:rPr>
                    <w:t>3 098 022,00</w:t>
                  </w:r>
                </w:p>
              </w:tc>
            </w:tr>
          </w:tbl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P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p w:rsidR="00901A4C" w:rsidRDefault="00901A4C" w:rsidP="00253544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Приложение № 3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«___» __________  2022г № _____</w:t>
            </w: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2023 год и плановый период 2024 и   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2025годов»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2023 ГОД И ПЛАНОВЫЙ ПЕРИОД 2024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2025 ГОДОВ</w:t>
      </w:r>
    </w:p>
    <w:p w:rsidR="00253544" w:rsidRDefault="00253544" w:rsidP="00253544">
      <w:r>
        <w:t xml:space="preserve">                                                                                                                                                     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53"/>
        <w:gridCol w:w="709"/>
        <w:gridCol w:w="567"/>
        <w:gridCol w:w="851"/>
        <w:gridCol w:w="708"/>
        <w:gridCol w:w="1276"/>
        <w:gridCol w:w="1134"/>
        <w:gridCol w:w="851"/>
      </w:tblGrid>
      <w:tr w:rsidR="00253544" w:rsidTr="001E3ABF">
        <w:trPr>
          <w:trHeight w:val="8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 расходы на 2025 год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4 137 461,00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3 098 022,00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2 246 948,00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</w:tr>
      <w:tr w:rsidR="00253544" w:rsidTr="001E3ABF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1E3ABF">
        <w:trPr>
          <w:trHeight w:val="6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1E3ABF">
        <w:trPr>
          <w:trHeight w:val="3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1E3ABF">
        <w:trPr>
          <w:trHeight w:val="60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1E3ABF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>
              <w:rPr>
                <w:color w:val="000000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1E3ABF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1E3ABF">
        <w:trPr>
          <w:trHeight w:val="45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раций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</w:tr>
      <w:tr w:rsidR="00253544" w:rsidTr="001E3ABF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</w:tr>
      <w:tr w:rsidR="00253544" w:rsidTr="001E3ABF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75 3 00 </w:t>
            </w:r>
            <w:r>
              <w:rPr>
                <w:color w:val="000000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385 264,00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367 426,00</w:t>
            </w:r>
          </w:p>
        </w:tc>
      </w:tr>
      <w:tr w:rsidR="00253544" w:rsidTr="001E3ABF">
        <w:trPr>
          <w:trHeight w:val="139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1E3ABF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1E3ABF">
        <w:trPr>
          <w:trHeight w:val="49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</w:t>
            </w:r>
            <w:r>
              <w:rPr>
                <w:color w:val="000000"/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00</w:t>
            </w:r>
          </w:p>
        </w:tc>
      </w:tr>
      <w:tr w:rsidR="00253544" w:rsidTr="001E3ABF">
        <w:trPr>
          <w:trHeight w:val="74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1E3ABF">
        <w:trPr>
          <w:trHeight w:val="2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2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6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6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» муниципальной программы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482 729,00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>
              <w:rPr>
                <w:bCs/>
                <w:sz w:val="20"/>
                <w:szCs w:val="20"/>
              </w:rPr>
              <w:t>Гламаздинского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Cs/>
                <w:sz w:val="20"/>
                <w:szCs w:val="20"/>
              </w:rPr>
              <w:t>Хомутовского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24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/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/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445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rPr>
                <w:b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b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1E3ABF">
        <w:trPr>
          <w:trHeight w:val="3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</w:tbl>
    <w:p w:rsidR="00253544" w:rsidRDefault="00253544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p w:rsidR="00901A4C" w:rsidRDefault="00901A4C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lastRenderedPageBreak/>
              <w:t xml:space="preserve">    Приложение № 4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  решению собрания депутатов </w:t>
            </w:r>
            <w:proofErr w:type="spellStart"/>
            <w:r>
              <w:rPr>
                <w:sz w:val="18"/>
                <w:szCs w:val="20"/>
              </w:rPr>
              <w:t>Гламаздинского</w:t>
            </w:r>
            <w:proofErr w:type="spellEnd"/>
            <w:r>
              <w:rPr>
                <w:sz w:val="18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proofErr w:type="spellStart"/>
            <w:r>
              <w:rPr>
                <w:sz w:val="18"/>
                <w:szCs w:val="20"/>
              </w:rPr>
              <w:t>Хомутовского</w:t>
            </w:r>
            <w:proofErr w:type="spellEnd"/>
            <w:r>
              <w:rPr>
                <w:sz w:val="18"/>
                <w:szCs w:val="20"/>
              </w:rPr>
              <w:t xml:space="preserve"> района Курской области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«___»__________  2022г №______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«О бюджете </w:t>
            </w:r>
            <w:proofErr w:type="spellStart"/>
            <w:r>
              <w:rPr>
                <w:sz w:val="18"/>
                <w:szCs w:val="20"/>
              </w:rPr>
              <w:t>Гламаздинского</w:t>
            </w:r>
            <w:proofErr w:type="spellEnd"/>
            <w:r>
              <w:rPr>
                <w:sz w:val="18"/>
                <w:szCs w:val="20"/>
              </w:rPr>
              <w:t xml:space="preserve"> сельсовета </w:t>
            </w:r>
            <w:proofErr w:type="spellStart"/>
            <w:r>
              <w:rPr>
                <w:sz w:val="18"/>
                <w:szCs w:val="20"/>
              </w:rPr>
              <w:t>Хомутовского</w:t>
            </w:r>
            <w:proofErr w:type="spellEnd"/>
            <w:r>
              <w:rPr>
                <w:sz w:val="18"/>
                <w:szCs w:val="20"/>
              </w:rPr>
              <w:t xml:space="preserve"> района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Курской области на 2023 год и на плановый период 2024 и 2025 годов»</w:t>
            </w:r>
          </w:p>
          <w:p w:rsidR="00253544" w:rsidRDefault="00253544" w:rsidP="00253544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</w:tbl>
    <w:p w:rsidR="00253544" w:rsidRDefault="00253544" w:rsidP="00253544"/>
    <w:p w:rsidR="00253544" w:rsidRDefault="00253544" w:rsidP="00253544">
      <w:pPr>
        <w:jc w:val="center"/>
        <w:rPr>
          <w:b/>
        </w:rPr>
      </w:pPr>
      <w:r>
        <w:rPr>
          <w:b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НА 2023 ГОД И ПЛАНОВЫЙ ПЕРИОД 2024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2025 ГОДОВ</w:t>
      </w:r>
    </w:p>
    <w:p w:rsidR="00253544" w:rsidRDefault="00253544" w:rsidP="00253544">
      <w:pPr>
        <w:jc w:val="right"/>
      </w:pPr>
      <w:r>
        <w:t>(рублей)</w:t>
      </w:r>
    </w:p>
    <w:tbl>
      <w:tblPr>
        <w:tblW w:w="1048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27"/>
        <w:gridCol w:w="425"/>
        <w:gridCol w:w="567"/>
        <w:gridCol w:w="426"/>
        <w:gridCol w:w="1274"/>
        <w:gridCol w:w="567"/>
        <w:gridCol w:w="1133"/>
        <w:gridCol w:w="1133"/>
        <w:gridCol w:w="1133"/>
      </w:tblGrid>
      <w:tr w:rsidR="00253544" w:rsidTr="00253544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253544" w:rsidTr="0025354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53544" w:rsidTr="00253544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4 137 461,00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3 098 022,00</w:t>
            </w:r>
          </w:p>
        </w:tc>
      </w:tr>
      <w:tr w:rsidR="00253544" w:rsidTr="00253544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</w:tr>
      <w:tr w:rsidR="00253544" w:rsidTr="00253544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</w:tr>
      <w:tr w:rsidR="00253544" w:rsidTr="00253544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</w:tr>
      <w:tr w:rsidR="00253544" w:rsidTr="00253544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5 475,00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253544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253544" w:rsidTr="00253544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</w:tr>
      <w:tr w:rsidR="00253544" w:rsidTr="00253544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</w:t>
            </w:r>
            <w:r>
              <w:rPr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» муниципальной программы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b/>
                <w:sz w:val="20"/>
                <w:szCs w:val="20"/>
              </w:rPr>
              <w:t>Обеспнчнгие</w:t>
            </w:r>
            <w:proofErr w:type="spellEnd"/>
            <w:r>
              <w:rPr>
                <w:b/>
                <w:sz w:val="20"/>
                <w:szCs w:val="20"/>
              </w:rPr>
              <w:t xml:space="preserve"> эффективности проводимой противопожарной </w:t>
            </w:r>
            <w:proofErr w:type="spellStart"/>
            <w:r>
              <w:rPr>
                <w:b/>
                <w:sz w:val="20"/>
                <w:szCs w:val="20"/>
              </w:rPr>
              <w:t>пропоганды</w:t>
            </w:r>
            <w:proofErr w:type="spellEnd"/>
            <w:r>
              <w:rPr>
                <w:b/>
                <w:sz w:val="20"/>
                <w:szCs w:val="20"/>
              </w:rPr>
              <w:t xml:space="preserve"> с населением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482 729,00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>
              <w:rPr>
                <w:bCs/>
                <w:sz w:val="20"/>
                <w:szCs w:val="20"/>
              </w:rPr>
              <w:t>Гламаздинского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Cs/>
                <w:sz w:val="20"/>
                <w:szCs w:val="20"/>
              </w:rPr>
              <w:t>Хомутовского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rPr>
                <w:b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b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</w:tbl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>
      <w:pPr>
        <w:rPr>
          <w:sz w:val="24"/>
        </w:rPr>
      </w:pPr>
    </w:p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tbl>
      <w:tblPr>
        <w:tblW w:w="6305" w:type="dxa"/>
        <w:jc w:val="right"/>
        <w:tblLook w:val="01E0"/>
      </w:tblPr>
      <w:tblGrid>
        <w:gridCol w:w="6305"/>
      </w:tblGrid>
      <w:tr w:rsidR="00253544" w:rsidTr="00253544">
        <w:trPr>
          <w:trHeight w:val="325"/>
          <w:jc w:val="right"/>
        </w:trPr>
        <w:tc>
          <w:tcPr>
            <w:tcW w:w="6305" w:type="dxa"/>
          </w:tcPr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Приложение № 5</w:t>
            </w:r>
          </w:p>
        </w:tc>
      </w:tr>
      <w:tr w:rsidR="00253544" w:rsidTr="00253544">
        <w:trPr>
          <w:trHeight w:val="250"/>
          <w:jc w:val="right"/>
        </w:trPr>
        <w:tc>
          <w:tcPr>
            <w:tcW w:w="6305" w:type="dxa"/>
            <w:hideMark/>
          </w:tcPr>
          <w:p w:rsidR="00253544" w:rsidRDefault="00253544" w:rsidP="002535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 собрания депутатов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 __________  2022г № ________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 бюджете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  <w:p w:rsidR="00253544" w:rsidRDefault="00253544" w:rsidP="0025354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2023 год и на плановый период 2024 и 2025годов» </w:t>
            </w:r>
          </w:p>
        </w:tc>
      </w:tr>
    </w:tbl>
    <w:p w:rsidR="00253544" w:rsidRDefault="00253544" w:rsidP="00253544">
      <w:pPr>
        <w:jc w:val="right"/>
      </w:pP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53544" w:rsidRDefault="00253544" w:rsidP="00253544">
      <w:pPr>
        <w:jc w:val="center"/>
        <w:rPr>
          <w:b/>
        </w:rPr>
      </w:pPr>
      <w:r>
        <w:rPr>
          <w:b/>
        </w:rPr>
        <w:t xml:space="preserve"> ГРУППАМ ВИДОВ РАСХОДОВ НА 2023 ГОД И НА ПЛАНОВЫЙ ПЕРИОД 2024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2025 ГОДОВ</w:t>
      </w:r>
    </w:p>
    <w:p w:rsidR="00253544" w:rsidRDefault="00253544" w:rsidP="00253544">
      <w:pPr>
        <w:jc w:val="right"/>
      </w:pPr>
      <w:r>
        <w:t xml:space="preserve">        (рублей)</w:t>
      </w: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8"/>
        <w:gridCol w:w="1132"/>
        <w:gridCol w:w="853"/>
        <w:gridCol w:w="848"/>
        <w:gridCol w:w="1134"/>
        <w:gridCol w:w="1276"/>
      </w:tblGrid>
      <w:tr w:rsidR="00253544" w:rsidTr="00253544">
        <w:trPr>
          <w:trHeight w:val="862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4 137 461,00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3 098 022,00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>
              <w:rPr>
                <w:b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>
              <w:rPr>
                <w:b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506 448,00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520 408,00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445 619,00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>
              <w:rPr>
                <w:bCs/>
                <w:sz w:val="20"/>
                <w:szCs w:val="20"/>
              </w:rPr>
              <w:t>Гламаздинского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Cs/>
                <w:sz w:val="20"/>
                <w:szCs w:val="20"/>
              </w:rPr>
              <w:t>Хомутовского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165 101,00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520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494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494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/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48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53544" w:rsidTr="00253544">
        <w:trPr>
          <w:trHeight w:val="744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663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области» муниципальной программы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744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Гламаздинский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370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620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253544" w:rsidTr="00253544">
        <w:trPr>
          <w:trHeight w:val="600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398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1 365 253,00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75 3 00 </w:t>
            </w:r>
            <w:r>
              <w:rPr>
                <w:color w:val="000000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5 000,00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>
              <w:rPr>
                <w:color w:val="000000"/>
                <w:sz w:val="20"/>
                <w:szCs w:val="20"/>
              </w:rPr>
              <w:t>х(</w:t>
            </w:r>
            <w:proofErr w:type="gramEnd"/>
            <w:r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1 106 061,00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155 540,00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1 106 061,00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155 540,00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164 087,00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П1467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</w:t>
            </w:r>
            <w:r>
              <w:rPr>
                <w:color w:val="000000"/>
                <w:sz w:val="20"/>
                <w:szCs w:val="20"/>
              </w:rPr>
              <w:lastRenderedPageBreak/>
              <w:t>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253544" w:rsidTr="00253544">
        <w:trPr>
          <w:trHeight w:val="247"/>
        </w:trPr>
        <w:tc>
          <w:tcPr>
            <w:tcW w:w="4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544" w:rsidRDefault="0025354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/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t xml:space="preserve">          Приложение №6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 xml:space="preserve">от «____ » ___________ 2022г №________ </w:t>
      </w:r>
    </w:p>
    <w:p w:rsidR="00253544" w:rsidRDefault="00253544" w:rsidP="00253544">
      <w:pPr>
        <w:spacing w:after="0" w:line="240" w:lineRule="auto"/>
        <w:ind w:left="4394"/>
      </w:pPr>
      <w:r>
        <w:t xml:space="preserve">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253544" w:rsidTr="00253544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253544" w:rsidTr="00253544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2023 год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2023г.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68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погашения средств в 2023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253544" w:rsidRDefault="00253544" w:rsidP="00253544">
      <w:pPr>
        <w:spacing w:after="0"/>
        <w:ind w:left="4394"/>
        <w:jc w:val="center"/>
        <w:rPr>
          <w:rFonts w:eastAsia="Arial Unicode MS"/>
          <w:kern w:val="2"/>
        </w:rPr>
      </w:pPr>
      <w:r>
        <w:t>Приложение №7</w:t>
      </w:r>
    </w:p>
    <w:p w:rsidR="00253544" w:rsidRDefault="00253544" w:rsidP="00253544">
      <w:pPr>
        <w:spacing w:after="0"/>
        <w:ind w:left="4394"/>
        <w:rPr>
          <w:rFonts w:eastAsia="Times New Roman"/>
        </w:rPr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</w:p>
    <w:p w:rsidR="00253544" w:rsidRDefault="00253544" w:rsidP="00253544">
      <w:pPr>
        <w:spacing w:after="0"/>
        <w:ind w:left="4394"/>
      </w:pPr>
      <w:r>
        <w:t xml:space="preserve">от «____ » ___________ 2022г № ______ </w:t>
      </w:r>
    </w:p>
    <w:p w:rsidR="00253544" w:rsidRDefault="00253544" w:rsidP="00253544">
      <w:pPr>
        <w:spacing w:after="0"/>
        <w:ind w:left="4394"/>
      </w:pPr>
      <w:r>
        <w:t xml:space="preserve">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2023 год и плановый период 2024 и 2025 годов ”</w:t>
      </w:r>
    </w:p>
    <w:p w:rsidR="00253544" w:rsidRDefault="00253544" w:rsidP="00253544">
      <w:r>
        <w:t xml:space="preserve">                                                                          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53544" w:rsidTr="00253544">
        <w:trPr>
          <w:trHeight w:val="540"/>
        </w:trPr>
        <w:tc>
          <w:tcPr>
            <w:tcW w:w="8519" w:type="dxa"/>
            <w:gridSpan w:val="3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            области на плановый период 2024 и 2025 годов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2024г.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привлечения средств в 2025г.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75"/>
        </w:trPr>
        <w:tc>
          <w:tcPr>
            <w:tcW w:w="640" w:type="dxa"/>
            <w:noWrap/>
            <w:vAlign w:val="center"/>
          </w:tcPr>
          <w:p w:rsidR="00253544" w:rsidRDefault="002535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3544" w:rsidRDefault="002535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г.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  <w:tr w:rsidR="00253544" w:rsidTr="00253544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53544" w:rsidRDefault="00253544" w:rsidP="00253544">
      <w:pPr>
        <w:ind w:left="4396"/>
        <w:jc w:val="center"/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br w:type="page"/>
      </w:r>
      <w:r>
        <w:lastRenderedPageBreak/>
        <w:t>Приложение № 8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>от «____» ___________ 2022г №_______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2023 год и плановый период 2024 и 2025годов”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253544">
        <w:trPr>
          <w:trHeight w:val="37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плановый период  2023 год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в 2023 году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по возможным гарантийным случаям в 2023 году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253544" w:rsidTr="00253544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3544" w:rsidRDefault="00253544" w:rsidP="00253544">
      <w:pPr>
        <w:jc w:val="both"/>
        <w:rPr>
          <w:rFonts w:eastAsia="Arial Unicode MS"/>
          <w:kern w:val="2"/>
        </w:rPr>
      </w:pPr>
    </w:p>
    <w:p w:rsidR="00253544" w:rsidRDefault="00253544" w:rsidP="00253544">
      <w:pPr>
        <w:spacing w:after="0" w:line="240" w:lineRule="auto"/>
        <w:ind w:left="4394"/>
        <w:jc w:val="center"/>
        <w:rPr>
          <w:rFonts w:eastAsia="Arial Unicode MS"/>
          <w:kern w:val="2"/>
        </w:rPr>
      </w:pPr>
      <w:r>
        <w:lastRenderedPageBreak/>
        <w:t>Приложение № 9</w:t>
      </w:r>
    </w:p>
    <w:p w:rsidR="00253544" w:rsidRDefault="00253544" w:rsidP="00253544">
      <w:pPr>
        <w:spacing w:after="0" w:line="240" w:lineRule="auto"/>
        <w:ind w:left="4394"/>
        <w:rPr>
          <w:rFonts w:eastAsia="Times New Roman"/>
        </w:rPr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</w:t>
      </w:r>
    </w:p>
    <w:p w:rsidR="00253544" w:rsidRDefault="00253544" w:rsidP="00253544">
      <w:pPr>
        <w:spacing w:after="0" w:line="240" w:lineRule="auto"/>
        <w:ind w:left="4394"/>
      </w:pPr>
      <w:r>
        <w:t>от «____» _________ 2022г №_______</w:t>
      </w:r>
    </w:p>
    <w:p w:rsidR="00253544" w:rsidRDefault="00253544" w:rsidP="00253544">
      <w:pPr>
        <w:spacing w:after="0" w:line="240" w:lineRule="auto"/>
        <w:ind w:left="4394"/>
      </w:pP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2023 год и плановый период 2024 и 2025 годов”</w:t>
      </w:r>
    </w:p>
    <w:p w:rsidR="00253544" w:rsidRDefault="00253544" w:rsidP="00253544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253544" w:rsidTr="00253544">
        <w:trPr>
          <w:trHeight w:val="37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плановый период  2024 и 2025 годов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 Перечень подлежащих предоставлению муниципальных гарантий Курской области на  плановый период 2024 и 2025 годов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Сумма гарантирования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гарантии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</w:tr>
      <w:tr w:rsidR="00253544" w:rsidTr="00253544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253544" w:rsidTr="00253544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 по возможным гарантийным случаям на плановый период 2024 и 2025 годов</w:t>
            </w:r>
          </w:p>
        </w:tc>
      </w:tr>
      <w:tr w:rsidR="00253544" w:rsidTr="00253544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253544" w:rsidRDefault="002535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253544" w:rsidRDefault="00253544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53544" w:rsidTr="00253544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Исполнение муниципальных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Объем бюджетных ассигнований на исполнение гарантий по возможным гарантийным случаям на плановый период 2024 и 2025 годов, рублей</w:t>
            </w:r>
          </w:p>
        </w:tc>
      </w:tr>
      <w:tr w:rsidR="00253544" w:rsidTr="00253544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53544" w:rsidRDefault="002535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53544" w:rsidRDefault="00253544" w:rsidP="00253544">
      <w:pPr>
        <w:jc w:val="center"/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AE3880" w:rsidRDefault="00AE3880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p w:rsidR="005A049B" w:rsidRDefault="005A049B" w:rsidP="00AE3880">
      <w:pPr>
        <w:rPr>
          <w:b/>
        </w:rPr>
      </w:pPr>
    </w:p>
    <w:sectPr w:rsidR="005A049B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0A08"/>
    <w:rsid w:val="00011756"/>
    <w:rsid w:val="00037205"/>
    <w:rsid w:val="000A5675"/>
    <w:rsid w:val="000C3A68"/>
    <w:rsid w:val="000F5E28"/>
    <w:rsid w:val="001725BB"/>
    <w:rsid w:val="001E3ABF"/>
    <w:rsid w:val="001F1BC5"/>
    <w:rsid w:val="002327E6"/>
    <w:rsid w:val="00253544"/>
    <w:rsid w:val="00287560"/>
    <w:rsid w:val="003501C5"/>
    <w:rsid w:val="003640C7"/>
    <w:rsid w:val="004011ED"/>
    <w:rsid w:val="00411C80"/>
    <w:rsid w:val="00486D47"/>
    <w:rsid w:val="004C5CF3"/>
    <w:rsid w:val="00501159"/>
    <w:rsid w:val="00530604"/>
    <w:rsid w:val="0058233E"/>
    <w:rsid w:val="005A049B"/>
    <w:rsid w:val="006A1FC7"/>
    <w:rsid w:val="0073171F"/>
    <w:rsid w:val="007D01BD"/>
    <w:rsid w:val="007D338B"/>
    <w:rsid w:val="007D5BD9"/>
    <w:rsid w:val="007F6985"/>
    <w:rsid w:val="00827DEF"/>
    <w:rsid w:val="008C0DED"/>
    <w:rsid w:val="00901A4C"/>
    <w:rsid w:val="00964B33"/>
    <w:rsid w:val="009A1EF8"/>
    <w:rsid w:val="009E356E"/>
    <w:rsid w:val="009F7322"/>
    <w:rsid w:val="00A42093"/>
    <w:rsid w:val="00A538C9"/>
    <w:rsid w:val="00A707DA"/>
    <w:rsid w:val="00AC641F"/>
    <w:rsid w:val="00AE3880"/>
    <w:rsid w:val="00B46094"/>
    <w:rsid w:val="00BF2F19"/>
    <w:rsid w:val="00C814A8"/>
    <w:rsid w:val="00D42E10"/>
    <w:rsid w:val="00D540B9"/>
    <w:rsid w:val="00D7334D"/>
    <w:rsid w:val="00D87E95"/>
    <w:rsid w:val="00E350D1"/>
    <w:rsid w:val="00E61B73"/>
    <w:rsid w:val="00E73243"/>
    <w:rsid w:val="00EC00AC"/>
    <w:rsid w:val="00F02BBE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67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hyperlink" Target="http://www.consultant.ru/document/cons_doc_LAW_365267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11843</Words>
  <Characters>67508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21</cp:revision>
  <cp:lastPrinted>2022-11-18T10:22:00Z</cp:lastPrinted>
  <dcterms:created xsi:type="dcterms:W3CDTF">2020-09-24T11:10:00Z</dcterms:created>
  <dcterms:modified xsi:type="dcterms:W3CDTF">2022-11-21T12:50:00Z</dcterms:modified>
</cp:coreProperties>
</file>