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77" w:rsidRPr="00EA2177" w:rsidRDefault="00EA2177" w:rsidP="00EA2177">
      <w:pPr>
        <w:spacing w:after="100" w:afterAutospacing="1" w:line="240" w:lineRule="auto"/>
        <w:outlineLvl w:val="0"/>
        <w:rPr>
          <w:rFonts w:ascii="Arial" w:eastAsia="Times New Roman" w:hAnsi="Arial" w:cs="Arial"/>
          <w:kern w:val="36"/>
          <w:sz w:val="48"/>
          <w:szCs w:val="48"/>
          <w:lang w:eastAsia="ru-RU"/>
        </w:rPr>
      </w:pPr>
      <w:r w:rsidRPr="00EA2177">
        <w:rPr>
          <w:rFonts w:ascii="Arial" w:eastAsia="Times New Roman" w:hAnsi="Arial" w:cs="Arial"/>
          <w:kern w:val="36"/>
          <w:sz w:val="48"/>
          <w:szCs w:val="48"/>
          <w:lang w:eastAsia="ru-RU"/>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EA2177" w:rsidRPr="00EA2177" w:rsidRDefault="00EA2177" w:rsidP="00EA2177">
      <w:pPr>
        <w:spacing w:after="0" w:line="240" w:lineRule="auto"/>
        <w:rPr>
          <w:rFonts w:ascii="Times New Roman" w:eastAsia="Times New Roman" w:hAnsi="Times New Roman" w:cs="Times New Roman"/>
          <w:sz w:val="24"/>
          <w:szCs w:val="24"/>
          <w:lang w:eastAsia="ru-RU"/>
        </w:rPr>
      </w:pPr>
      <w:r w:rsidRPr="00EA2177">
        <w:rPr>
          <w:rFonts w:ascii="Times New Roman" w:eastAsia="Times New Roman" w:hAnsi="Times New Roman" w:cs="Times New Roman"/>
          <w:sz w:val="24"/>
          <w:szCs w:val="24"/>
          <w:lang w:eastAsia="ru-RU"/>
        </w:rPr>
        <w:t>Методические материалы 18 марта 2020  Просмотров: 443</w:t>
      </w:r>
    </w:p>
    <w:p w:rsidR="00EA2177" w:rsidRPr="00EA2177" w:rsidRDefault="00EA2177" w:rsidP="00EA2177">
      <w:pPr>
        <w:spacing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b/>
          <w:bCs/>
          <w:color w:val="000000"/>
          <w:sz w:val="24"/>
          <w:szCs w:val="24"/>
          <w:lang w:eastAsia="ru-RU"/>
        </w:rPr>
        <w:t>Основные новеллы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2020 году (за отчетный 2019 год)</w:t>
      </w:r>
    </w:p>
    <w:p w:rsidR="00EA2177" w:rsidRPr="00EA2177" w:rsidRDefault="00EA2177" w:rsidP="00EA2177">
      <w:pPr>
        <w:spacing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b/>
          <w:bCs/>
          <w:color w:val="000000"/>
          <w:sz w:val="24"/>
          <w:szCs w:val="24"/>
          <w:lang w:eastAsia="ru-RU"/>
        </w:rPr>
        <w:t> </w:t>
      </w:r>
    </w:p>
    <w:p w:rsidR="00EA2177" w:rsidRPr="00EA2177" w:rsidRDefault="00EA2177" w:rsidP="00EA2177">
      <w:pPr>
        <w:spacing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 xml:space="preserve">В течение последних лет является устоявшейся практика </w:t>
      </w:r>
      <w:proofErr w:type="spellStart"/>
      <w:r w:rsidRPr="00EA2177">
        <w:rPr>
          <w:rFonts w:ascii="Times New Roman" w:eastAsia="Times New Roman" w:hAnsi="Times New Roman" w:cs="Times New Roman"/>
          <w:color w:val="000000"/>
          <w:sz w:val="24"/>
          <w:szCs w:val="24"/>
          <w:lang w:eastAsia="ru-RU"/>
        </w:rPr>
        <w:t>подготовкиМинистерством</w:t>
      </w:r>
      <w:proofErr w:type="spellEnd"/>
      <w:r w:rsidRPr="00EA2177">
        <w:rPr>
          <w:rFonts w:ascii="Times New Roman" w:eastAsia="Times New Roman" w:hAnsi="Times New Roman" w:cs="Times New Roman"/>
          <w:color w:val="000000"/>
          <w:sz w:val="24"/>
          <w:szCs w:val="24"/>
          <w:lang w:eastAsia="ru-RU"/>
        </w:rPr>
        <w:t xml:space="preserve"> труда и социальной защиты Российской </w:t>
      </w:r>
      <w:proofErr w:type="gramStart"/>
      <w:r w:rsidRPr="00EA2177">
        <w:rPr>
          <w:rFonts w:ascii="Times New Roman" w:eastAsia="Times New Roman" w:hAnsi="Times New Roman" w:cs="Times New Roman"/>
          <w:color w:val="000000"/>
          <w:sz w:val="24"/>
          <w:szCs w:val="24"/>
          <w:lang w:eastAsia="ru-RU"/>
        </w:rPr>
        <w:t>Федерации</w:t>
      </w:r>
      <w:proofErr w:type="gramEnd"/>
      <w:r w:rsidRPr="00EA2177">
        <w:rPr>
          <w:rFonts w:ascii="Times New Roman" w:eastAsia="Times New Roman" w:hAnsi="Times New Roman" w:cs="Times New Roman"/>
          <w:color w:val="000000"/>
          <w:sz w:val="24"/>
          <w:szCs w:val="24"/>
          <w:lang w:eastAsia="ru-RU"/>
        </w:rPr>
        <w:t xml:space="preserve"> ежегодно обновляемых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(далее – Методические рекомендации), направления их в заинтересованные государственные органы и организации, а также размещения на официальном сайте Минтруда России.</w:t>
      </w:r>
    </w:p>
    <w:p w:rsidR="00EA2177" w:rsidRPr="00EA2177" w:rsidRDefault="00EA2177" w:rsidP="00EA2177">
      <w:pPr>
        <w:spacing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Методические рекомендации для применения в ходе декларационной кампании 2020 года (за отчетный 2019 год) подготовлены Министерством при участии Администрации Президента Российской Федерации, Центрального банка Российской Федерации, Генеральной прокуратуры Российской Федерации и иных заинтересованных федеральных государственных органов.</w:t>
      </w:r>
    </w:p>
    <w:p w:rsidR="00EA2177" w:rsidRPr="00EA2177" w:rsidRDefault="00EA2177" w:rsidP="00EA2177">
      <w:pPr>
        <w:spacing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В ходе использования в работе указанных Методических рекомендаций предлагаем обратить внимание на следующее.</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В преамбуле Методических рекомендаций акцентировано внимание читателей на то, что консультативную и методическую помощь государственным и муниципальным служащим (далее – служащие), а также работникам отдельных категорий организаций (далее – работники) оказывает подразделение по профилактике коррупционных и иных правонарушений (должностное лицо, ответственное за работу по профилактике коррупционных и иных правонарушений) (далее – подразделение).</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 xml:space="preserve">Исключены положения о необходимости представления сведений о доходах, расходах, об имуществе и обязательствах имущественного характера (далее – сведения) в подразделение, в котором лицо замещало должность на отчетную дату, </w:t>
      </w:r>
      <w:r w:rsidRPr="00EA2177">
        <w:rPr>
          <w:rFonts w:ascii="Times New Roman" w:eastAsia="Times New Roman" w:hAnsi="Times New Roman" w:cs="Times New Roman"/>
          <w:color w:val="000000"/>
          <w:sz w:val="24"/>
          <w:szCs w:val="24"/>
          <w:lang w:eastAsia="ru-RU"/>
        </w:rPr>
        <w:lastRenderedPageBreak/>
        <w:t>в случае перевода в период декларационной кампании, а также положения о представлении сведений в случае увольнения в период декларационной кампании.</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 xml:space="preserve">В пункте 34 Методических рекомендаций отмечено, что сведения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w:t>
      </w:r>
      <w:proofErr w:type="spellStart"/>
      <w:r w:rsidRPr="00EA2177">
        <w:rPr>
          <w:rFonts w:ascii="Times New Roman" w:eastAsia="Times New Roman" w:hAnsi="Times New Roman" w:cs="Times New Roman"/>
          <w:color w:val="000000"/>
          <w:sz w:val="24"/>
          <w:szCs w:val="24"/>
          <w:lang w:eastAsia="ru-RU"/>
        </w:rPr>
        <w:t>смс-сообщения</w:t>
      </w:r>
      <w:proofErr w:type="spellEnd"/>
      <w:r w:rsidRPr="00EA2177">
        <w:rPr>
          <w:rFonts w:ascii="Times New Roman" w:eastAsia="Times New Roman" w:hAnsi="Times New Roman" w:cs="Times New Roman"/>
          <w:color w:val="000000"/>
          <w:sz w:val="24"/>
          <w:szCs w:val="24"/>
          <w:lang w:eastAsia="ru-RU"/>
        </w:rPr>
        <w:t>.</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Также в Методических рекомендациях процитированы положения из Инструкции о порядке заполнения справки о доходах, расходах, об имуществе и обязательствах имущественного характера (далее – справка) с использованием специального программного обеспечения "Справки БК".</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Дополнительно уточнено, что выплаты денежных сумм, осуществленные на основании договоров страхования, подлежат отражению в разделе 1 справки. При этом в отношении договоров страхования, поименованных в подпункте 3 пункта158 Методических рекомендаций, доходом является положительный результат (разница между уплаченными страховыми премиями (взносами) и выплаченными в результате прекращения таких договоров страхования денежными суммами (в отношении каждого договора отдельно)).</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В Методических рекомендациях отмечено, что 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раздел 2 справки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Одновременно в Методических рекомендациях предусмотрены положения, касающиеся граждан, зарегистрированных в качестве индивидуальных предпринимателей.</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Отмечено, что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(в том числе в подразделе 6.1 раздела 6 справки).</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Методические рекомендации дополнены положением, согласно которому, 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квартира), право собственности у приобретателя возникает с момента такой регистрации, если иное не установлено законом. Так, в частности, регистрация транспортных средств носит учетный характер и не служит основанием для возникновения (прекращения) на них права собственности.</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Отмечено, что в графе "Место регистрации" подраздела 3.2 раздела 3 справки допускается указание кода подразделения ГИБДД в соответствии со свидетельством о регистрации транспортного средства.</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 xml:space="preserve">В разделе 4 справки необходимо отражать информацию о номинальных счетах и счетах </w:t>
      </w:r>
      <w:proofErr w:type="spellStart"/>
      <w:r w:rsidRPr="00EA2177">
        <w:rPr>
          <w:rFonts w:ascii="Times New Roman" w:eastAsia="Times New Roman" w:hAnsi="Times New Roman" w:cs="Times New Roman"/>
          <w:color w:val="000000"/>
          <w:sz w:val="24"/>
          <w:szCs w:val="24"/>
          <w:lang w:eastAsia="ru-RU"/>
        </w:rPr>
        <w:t>эскроу</w:t>
      </w:r>
      <w:proofErr w:type="spellEnd"/>
      <w:r w:rsidRPr="00EA2177">
        <w:rPr>
          <w:rFonts w:ascii="Times New Roman" w:eastAsia="Times New Roman" w:hAnsi="Times New Roman" w:cs="Times New Roman"/>
          <w:color w:val="000000"/>
          <w:sz w:val="24"/>
          <w:szCs w:val="24"/>
          <w:lang w:eastAsia="ru-RU"/>
        </w:rPr>
        <w:t>, а также о счетах, открытых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 xml:space="preserve">В части графы "Основание участия" подраздела 5.1 раздела 5 справки предусмотрено, что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w:t>
      </w:r>
      <w:r w:rsidRPr="00EA2177">
        <w:rPr>
          <w:rFonts w:ascii="Times New Roman" w:eastAsia="Times New Roman" w:hAnsi="Times New Roman" w:cs="Times New Roman"/>
          <w:color w:val="000000"/>
          <w:sz w:val="24"/>
          <w:szCs w:val="24"/>
          <w:lang w:eastAsia="ru-RU"/>
        </w:rPr>
        <w:lastRenderedPageBreak/>
        <w:t>по счету депо или лицевому счету, выдаваемая соответственно депозитарием или держателем реестра.</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2177">
        <w:rPr>
          <w:rFonts w:ascii="Times New Roman" w:eastAsia="Times New Roman" w:hAnsi="Times New Roman" w:cs="Times New Roman"/>
          <w:color w:val="000000"/>
          <w:sz w:val="24"/>
          <w:szCs w:val="24"/>
          <w:lang w:eastAsia="ru-RU"/>
        </w:rPr>
        <w:t>Одновременно для графы "Номинальная величина обязательства" подраздела 5.2 раздела 5 справки предусмотрено, что отражается информация о цене, которая определена эмитентом при выпуске ценной бумаги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данная графа не заполняется).</w:t>
      </w:r>
      <w:proofErr w:type="gramEnd"/>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Также в Методических рекомендациях указано, что информация о наличии банковских счетов может быть получена лицом, в отношении которого представляется справка, у ФНС России.</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Уточнены условия, при которых не требуется в подразделе 6.1 раздела 6 справки одного из супругов указывать все объекты недвижимости, находящиеся в собственности другого супруга (</w:t>
      </w:r>
      <w:proofErr w:type="gramStart"/>
      <w:r w:rsidRPr="00EA2177">
        <w:rPr>
          <w:rFonts w:ascii="Times New Roman" w:eastAsia="Times New Roman" w:hAnsi="Times New Roman" w:cs="Times New Roman"/>
          <w:color w:val="000000"/>
          <w:sz w:val="24"/>
          <w:szCs w:val="24"/>
          <w:lang w:eastAsia="ru-RU"/>
        </w:rPr>
        <w:t xml:space="preserve">отсутствует фактическое пользование этим объектом супругом </w:t>
      </w:r>
      <w:proofErr w:type="spellStart"/>
      <w:r w:rsidRPr="00EA2177">
        <w:rPr>
          <w:rFonts w:ascii="Times New Roman" w:eastAsia="Times New Roman" w:hAnsi="Times New Roman" w:cs="Times New Roman"/>
          <w:color w:val="000000"/>
          <w:sz w:val="24"/>
          <w:szCs w:val="24"/>
          <w:lang w:eastAsia="ru-RU"/>
        </w:rPr>
        <w:t>иэти</w:t>
      </w:r>
      <w:proofErr w:type="spellEnd"/>
      <w:r w:rsidRPr="00EA2177">
        <w:rPr>
          <w:rFonts w:ascii="Times New Roman" w:eastAsia="Times New Roman" w:hAnsi="Times New Roman" w:cs="Times New Roman"/>
          <w:color w:val="000000"/>
          <w:sz w:val="24"/>
          <w:szCs w:val="24"/>
          <w:lang w:eastAsia="ru-RU"/>
        </w:rPr>
        <w:t xml:space="preserve"> объекты указаны</w:t>
      </w:r>
      <w:proofErr w:type="gramEnd"/>
      <w:r w:rsidRPr="00EA2177">
        <w:rPr>
          <w:rFonts w:ascii="Times New Roman" w:eastAsia="Times New Roman" w:hAnsi="Times New Roman" w:cs="Times New Roman"/>
          <w:color w:val="000000"/>
          <w:sz w:val="24"/>
          <w:szCs w:val="24"/>
          <w:lang w:eastAsia="ru-RU"/>
        </w:rPr>
        <w:t xml:space="preserve"> в подразделе 3.1 справки одного из супругов (аналогично в отношении несовершеннолетних детей)).</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Также конкретизированы положения о размере обязательства для целей заполнения подраздела 6.2 раздела 6 справки: указывается оставшийся непогашенным долг с суммой процентов, начисленных по состоянию на отчетную дату, а не до конца периода кредитования.</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EA2177">
        <w:rPr>
          <w:rFonts w:ascii="Times New Roman" w:eastAsia="Times New Roman" w:hAnsi="Times New Roman" w:cs="Times New Roman"/>
          <w:color w:val="000000"/>
          <w:sz w:val="24"/>
          <w:szCs w:val="24"/>
          <w:lang w:eastAsia="ru-RU"/>
        </w:rPr>
        <w:t xml:space="preserve">Методические рекомендации дополнены примерами срочных обязательств финансового характера, которые подлежат отражению при наличии обстоятельств (выкупленная дебиторская </w:t>
      </w:r>
      <w:proofErr w:type="spellStart"/>
      <w:r w:rsidRPr="00EA2177">
        <w:rPr>
          <w:rFonts w:ascii="Times New Roman" w:eastAsia="Times New Roman" w:hAnsi="Times New Roman" w:cs="Times New Roman"/>
          <w:color w:val="000000"/>
          <w:sz w:val="24"/>
          <w:szCs w:val="24"/>
          <w:lang w:eastAsia="ru-RU"/>
        </w:rPr>
        <w:t>задолженностьфинансовые</w:t>
      </w:r>
      <w:proofErr w:type="spellEnd"/>
      <w:r w:rsidRPr="00EA2177">
        <w:rPr>
          <w:rFonts w:ascii="Times New Roman" w:eastAsia="Times New Roman" w:hAnsi="Times New Roman" w:cs="Times New Roman"/>
          <w:color w:val="000000"/>
          <w:sz w:val="24"/>
          <w:szCs w:val="24"/>
          <w:lang w:eastAsia="ru-RU"/>
        </w:rPr>
        <w:t xml:space="preserve"> обязательства, участником которой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 и не подлежат отражению (договор срочного банковского вклада).</w:t>
      </w:r>
      <w:proofErr w:type="gramEnd"/>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В отношении подраздела 6.2 раздела 6 справки подробно раскрыт порядок отражения обязательств, возникающих в соответствии с Законом Российской Федерации от 27 ноября 1992 года № 4015-1 "Об организации страхового дела в Российской Федерации".</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Также в Методических рекомендациях указано, что 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 При этом уничтоженные объекты имущества не подлежат отражению в данном разделе справки. Договор мены не подлежит отражению в данном разделе справки, так как он является возмездным.</w:t>
      </w:r>
    </w:p>
    <w:p w:rsidR="00EA2177" w:rsidRPr="00EA2177" w:rsidRDefault="00EA2177" w:rsidP="00EA2177">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A2177">
        <w:rPr>
          <w:rFonts w:ascii="Times New Roman" w:eastAsia="Times New Roman" w:hAnsi="Times New Roman" w:cs="Times New Roman"/>
          <w:color w:val="000000"/>
          <w:sz w:val="24"/>
          <w:szCs w:val="24"/>
          <w:lang w:eastAsia="ru-RU"/>
        </w:rPr>
        <w:t>Положения Методических рекомендаций актуализированы с учетом изменений нормативных правовых актов Российской Федерации.</w:t>
      </w:r>
    </w:p>
    <w:p w:rsidR="00EA2177" w:rsidRPr="00EA2177" w:rsidRDefault="00EA2177" w:rsidP="00EA2177">
      <w:pPr>
        <w:numPr>
          <w:ilvl w:val="0"/>
          <w:numId w:val="2"/>
        </w:numPr>
        <w:pBdr>
          <w:top w:val="single" w:sz="6" w:space="0" w:color="F5F5F5"/>
        </w:pBdr>
        <w:shd w:val="clear" w:color="auto" w:fill="FFFFFF"/>
        <w:spacing w:before="100" w:beforeAutospacing="1" w:after="100" w:afterAutospacing="1" w:line="240" w:lineRule="auto"/>
        <w:ind w:firstLine="0"/>
        <w:rPr>
          <w:rFonts w:ascii="PT-Astra-Sans-Regular" w:eastAsia="Times New Roman" w:hAnsi="PT-Astra-Sans-Regular" w:cs="Times New Roman"/>
          <w:color w:val="252525"/>
          <w:sz w:val="24"/>
          <w:szCs w:val="24"/>
          <w:lang w:eastAsia="ru-RU"/>
        </w:rPr>
      </w:pPr>
      <w:hyperlink r:id="rId5" w:tooltip="" w:history="1">
        <w:r w:rsidRPr="00EA2177">
          <w:rPr>
            <w:rFonts w:ascii="PT-Astra-Sans-Regular" w:eastAsia="Times New Roman" w:hAnsi="PT-Astra-Sans-Regular" w:cs="Times New Roman"/>
            <w:color w:val="252525"/>
            <w:sz w:val="24"/>
            <w:szCs w:val="24"/>
            <w:u w:val="single"/>
            <w:lang w:eastAsia="ru-RU"/>
          </w:rPr>
          <w:t>Назад</w:t>
        </w:r>
      </w:hyperlink>
    </w:p>
    <w:p w:rsidR="00625E2C" w:rsidRPr="00EA2177" w:rsidRDefault="00625E2C" w:rsidP="00EA2177">
      <w:pPr>
        <w:rPr>
          <w:szCs w:val="27"/>
        </w:rPr>
      </w:pPr>
    </w:p>
    <w:sectPr w:rsidR="00625E2C" w:rsidRPr="00EA2177" w:rsidSect="00FF05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D4DA7"/>
    <w:multiLevelType w:val="multilevel"/>
    <w:tmpl w:val="68726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B0547B"/>
    <w:multiLevelType w:val="multilevel"/>
    <w:tmpl w:val="99140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1C65"/>
    <w:rsid w:val="00057456"/>
    <w:rsid w:val="00057F1C"/>
    <w:rsid w:val="000A6E47"/>
    <w:rsid w:val="000C64EB"/>
    <w:rsid w:val="00100D72"/>
    <w:rsid w:val="00105B3D"/>
    <w:rsid w:val="0011762D"/>
    <w:rsid w:val="00145B19"/>
    <w:rsid w:val="00156166"/>
    <w:rsid w:val="0020738F"/>
    <w:rsid w:val="00221C65"/>
    <w:rsid w:val="002A1092"/>
    <w:rsid w:val="002E19E0"/>
    <w:rsid w:val="00307793"/>
    <w:rsid w:val="00326A9F"/>
    <w:rsid w:val="00422186"/>
    <w:rsid w:val="00447E52"/>
    <w:rsid w:val="0045675A"/>
    <w:rsid w:val="00467522"/>
    <w:rsid w:val="004828E4"/>
    <w:rsid w:val="004B44DE"/>
    <w:rsid w:val="004C0691"/>
    <w:rsid w:val="005165DE"/>
    <w:rsid w:val="00527421"/>
    <w:rsid w:val="005977BA"/>
    <w:rsid w:val="005A3D4C"/>
    <w:rsid w:val="005B5422"/>
    <w:rsid w:val="00625E2C"/>
    <w:rsid w:val="00634C00"/>
    <w:rsid w:val="00676080"/>
    <w:rsid w:val="00680B32"/>
    <w:rsid w:val="00685319"/>
    <w:rsid w:val="00686762"/>
    <w:rsid w:val="006B560D"/>
    <w:rsid w:val="006B653C"/>
    <w:rsid w:val="006D03F3"/>
    <w:rsid w:val="007052C3"/>
    <w:rsid w:val="007119EE"/>
    <w:rsid w:val="007268D3"/>
    <w:rsid w:val="00730072"/>
    <w:rsid w:val="00733E46"/>
    <w:rsid w:val="00781FB9"/>
    <w:rsid w:val="007A103F"/>
    <w:rsid w:val="007B6FBC"/>
    <w:rsid w:val="007E4395"/>
    <w:rsid w:val="007E4937"/>
    <w:rsid w:val="00811094"/>
    <w:rsid w:val="00812B64"/>
    <w:rsid w:val="00850FCC"/>
    <w:rsid w:val="00894A1F"/>
    <w:rsid w:val="00894CBA"/>
    <w:rsid w:val="008A4FB8"/>
    <w:rsid w:val="008F3AC1"/>
    <w:rsid w:val="00900CA6"/>
    <w:rsid w:val="009229ED"/>
    <w:rsid w:val="00922E1B"/>
    <w:rsid w:val="00925D01"/>
    <w:rsid w:val="009810CF"/>
    <w:rsid w:val="009909EE"/>
    <w:rsid w:val="009C5DEE"/>
    <w:rsid w:val="009E5191"/>
    <w:rsid w:val="00A6609E"/>
    <w:rsid w:val="00AA0C06"/>
    <w:rsid w:val="00AA60BD"/>
    <w:rsid w:val="00AC0FC5"/>
    <w:rsid w:val="00AD5652"/>
    <w:rsid w:val="00AE0887"/>
    <w:rsid w:val="00AE1B09"/>
    <w:rsid w:val="00AE3D30"/>
    <w:rsid w:val="00B43340"/>
    <w:rsid w:val="00BA2103"/>
    <w:rsid w:val="00BC4542"/>
    <w:rsid w:val="00BC57B4"/>
    <w:rsid w:val="00C03232"/>
    <w:rsid w:val="00C2786A"/>
    <w:rsid w:val="00C4573C"/>
    <w:rsid w:val="00C8027E"/>
    <w:rsid w:val="00C93164"/>
    <w:rsid w:val="00CF611C"/>
    <w:rsid w:val="00D537E8"/>
    <w:rsid w:val="00D55EF4"/>
    <w:rsid w:val="00D56587"/>
    <w:rsid w:val="00D97741"/>
    <w:rsid w:val="00D97804"/>
    <w:rsid w:val="00DA32BB"/>
    <w:rsid w:val="00DA4969"/>
    <w:rsid w:val="00E17C8D"/>
    <w:rsid w:val="00E46A5B"/>
    <w:rsid w:val="00E61A41"/>
    <w:rsid w:val="00E73FF7"/>
    <w:rsid w:val="00E77DC6"/>
    <w:rsid w:val="00E80600"/>
    <w:rsid w:val="00E80C57"/>
    <w:rsid w:val="00E95ECE"/>
    <w:rsid w:val="00EA2177"/>
    <w:rsid w:val="00ED2097"/>
    <w:rsid w:val="00EE75D4"/>
    <w:rsid w:val="00F37ACA"/>
    <w:rsid w:val="00F61F0C"/>
    <w:rsid w:val="00F802BD"/>
    <w:rsid w:val="00FD5957"/>
    <w:rsid w:val="00FD5F50"/>
    <w:rsid w:val="00FF05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166"/>
  </w:style>
  <w:style w:type="paragraph" w:styleId="1">
    <w:name w:val="heading 1"/>
    <w:basedOn w:val="a"/>
    <w:link w:val="10"/>
    <w:uiPriority w:val="9"/>
    <w:qFormat/>
    <w:rsid w:val="006B5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28E4"/>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828E4"/>
    <w:rPr>
      <w:rFonts w:ascii="Segoe UI" w:hAnsi="Segoe UI" w:cs="Segoe UI"/>
      <w:sz w:val="18"/>
      <w:szCs w:val="18"/>
    </w:rPr>
  </w:style>
  <w:style w:type="paragraph" w:styleId="a5">
    <w:name w:val="Normal (Web)"/>
    <w:basedOn w:val="a"/>
    <w:uiPriority w:val="99"/>
    <w:unhideWhenUsed/>
    <w:rsid w:val="00AE3D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11762D"/>
    <w:rPr>
      <w:b/>
      <w:bCs/>
    </w:rPr>
  </w:style>
  <w:style w:type="character" w:styleId="a7">
    <w:name w:val="Emphasis"/>
    <w:basedOn w:val="a0"/>
    <w:uiPriority w:val="20"/>
    <w:qFormat/>
    <w:rsid w:val="0011762D"/>
    <w:rPr>
      <w:i/>
      <w:iCs/>
    </w:rPr>
  </w:style>
  <w:style w:type="table" w:styleId="a8">
    <w:name w:val="Table Grid"/>
    <w:basedOn w:val="a1"/>
    <w:uiPriority w:val="39"/>
    <w:rsid w:val="00E46A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45675A"/>
    <w:pPr>
      <w:spacing w:after="0" w:line="240" w:lineRule="auto"/>
    </w:pPr>
  </w:style>
  <w:style w:type="character" w:styleId="aa">
    <w:name w:val="Hyperlink"/>
    <w:basedOn w:val="a0"/>
    <w:uiPriority w:val="99"/>
    <w:semiHidden/>
    <w:unhideWhenUsed/>
    <w:rsid w:val="00FD5957"/>
    <w:rPr>
      <w:color w:val="0000FF"/>
      <w:u w:val="single"/>
    </w:rPr>
  </w:style>
  <w:style w:type="character" w:styleId="ab">
    <w:name w:val="FollowedHyperlink"/>
    <w:basedOn w:val="a0"/>
    <w:uiPriority w:val="99"/>
    <w:semiHidden/>
    <w:unhideWhenUsed/>
    <w:rsid w:val="00E61A41"/>
    <w:rPr>
      <w:color w:val="800080"/>
      <w:u w:val="single"/>
    </w:rPr>
  </w:style>
  <w:style w:type="character" w:customStyle="1" w:styleId="10">
    <w:name w:val="Заголовок 1 Знак"/>
    <w:basedOn w:val="a0"/>
    <w:link w:val="1"/>
    <w:uiPriority w:val="9"/>
    <w:rsid w:val="006B560D"/>
    <w:rPr>
      <w:rFonts w:ascii="Times New Roman" w:eastAsia="Times New Roman" w:hAnsi="Times New Roman" w:cs="Times New Roman"/>
      <w:b/>
      <w:bCs/>
      <w:kern w:val="36"/>
      <w:sz w:val="48"/>
      <w:szCs w:val="48"/>
      <w:lang w:eastAsia="ru-RU"/>
    </w:rPr>
  </w:style>
  <w:style w:type="character" w:customStyle="1" w:styleId="category-name">
    <w:name w:val="category-name"/>
    <w:basedOn w:val="a0"/>
    <w:rsid w:val="006B560D"/>
  </w:style>
  <w:style w:type="character" w:customStyle="1" w:styleId="published">
    <w:name w:val="published"/>
    <w:basedOn w:val="a0"/>
    <w:rsid w:val="006B560D"/>
  </w:style>
  <w:style w:type="character" w:customStyle="1" w:styleId="hits">
    <w:name w:val="hits"/>
    <w:basedOn w:val="a0"/>
    <w:rsid w:val="006B560D"/>
  </w:style>
</w:styles>
</file>

<file path=word/webSettings.xml><?xml version="1.0" encoding="utf-8"?>
<w:webSettings xmlns:r="http://schemas.openxmlformats.org/officeDocument/2006/relationships" xmlns:w="http://schemas.openxmlformats.org/wordprocessingml/2006/main">
  <w:divs>
    <w:div w:id="169371972">
      <w:bodyDiv w:val="1"/>
      <w:marLeft w:val="0"/>
      <w:marRight w:val="0"/>
      <w:marTop w:val="0"/>
      <w:marBottom w:val="0"/>
      <w:divBdr>
        <w:top w:val="none" w:sz="0" w:space="0" w:color="auto"/>
        <w:left w:val="none" w:sz="0" w:space="0" w:color="auto"/>
        <w:bottom w:val="none" w:sz="0" w:space="0" w:color="auto"/>
        <w:right w:val="none" w:sz="0" w:space="0" w:color="auto"/>
      </w:divBdr>
    </w:div>
    <w:div w:id="401759853">
      <w:bodyDiv w:val="1"/>
      <w:marLeft w:val="0"/>
      <w:marRight w:val="0"/>
      <w:marTop w:val="0"/>
      <w:marBottom w:val="0"/>
      <w:divBdr>
        <w:top w:val="none" w:sz="0" w:space="0" w:color="auto"/>
        <w:left w:val="none" w:sz="0" w:space="0" w:color="auto"/>
        <w:bottom w:val="none" w:sz="0" w:space="0" w:color="auto"/>
        <w:right w:val="none" w:sz="0" w:space="0" w:color="auto"/>
      </w:divBdr>
    </w:div>
    <w:div w:id="406734156">
      <w:bodyDiv w:val="1"/>
      <w:marLeft w:val="0"/>
      <w:marRight w:val="0"/>
      <w:marTop w:val="0"/>
      <w:marBottom w:val="0"/>
      <w:divBdr>
        <w:top w:val="none" w:sz="0" w:space="0" w:color="auto"/>
        <w:left w:val="none" w:sz="0" w:space="0" w:color="auto"/>
        <w:bottom w:val="none" w:sz="0" w:space="0" w:color="auto"/>
        <w:right w:val="none" w:sz="0" w:space="0" w:color="auto"/>
      </w:divBdr>
    </w:div>
    <w:div w:id="1081217275">
      <w:bodyDiv w:val="1"/>
      <w:marLeft w:val="0"/>
      <w:marRight w:val="0"/>
      <w:marTop w:val="0"/>
      <w:marBottom w:val="0"/>
      <w:divBdr>
        <w:top w:val="none" w:sz="0" w:space="0" w:color="auto"/>
        <w:left w:val="none" w:sz="0" w:space="0" w:color="auto"/>
        <w:bottom w:val="none" w:sz="0" w:space="0" w:color="auto"/>
        <w:right w:val="none" w:sz="0" w:space="0" w:color="auto"/>
      </w:divBdr>
    </w:div>
    <w:div w:id="1084031971">
      <w:bodyDiv w:val="1"/>
      <w:marLeft w:val="0"/>
      <w:marRight w:val="0"/>
      <w:marTop w:val="0"/>
      <w:marBottom w:val="0"/>
      <w:divBdr>
        <w:top w:val="none" w:sz="0" w:space="0" w:color="auto"/>
        <w:left w:val="none" w:sz="0" w:space="0" w:color="auto"/>
        <w:bottom w:val="none" w:sz="0" w:space="0" w:color="auto"/>
        <w:right w:val="none" w:sz="0" w:space="0" w:color="auto"/>
      </w:divBdr>
    </w:div>
    <w:div w:id="1620720171">
      <w:bodyDiv w:val="1"/>
      <w:marLeft w:val="0"/>
      <w:marRight w:val="0"/>
      <w:marTop w:val="0"/>
      <w:marBottom w:val="0"/>
      <w:divBdr>
        <w:top w:val="none" w:sz="0" w:space="0" w:color="auto"/>
        <w:left w:val="none" w:sz="0" w:space="0" w:color="auto"/>
        <w:bottom w:val="none" w:sz="0" w:space="0" w:color="auto"/>
        <w:right w:val="none" w:sz="0" w:space="0" w:color="auto"/>
      </w:divBdr>
      <w:divsChild>
        <w:div w:id="1464300820">
          <w:marLeft w:val="0"/>
          <w:marRight w:val="0"/>
          <w:marTop w:val="0"/>
          <w:marBottom w:val="0"/>
          <w:divBdr>
            <w:top w:val="none" w:sz="0" w:space="0" w:color="auto"/>
            <w:left w:val="none" w:sz="0" w:space="0" w:color="auto"/>
            <w:bottom w:val="none" w:sz="0" w:space="0" w:color="auto"/>
            <w:right w:val="none" w:sz="0" w:space="0" w:color="auto"/>
          </w:divBdr>
        </w:div>
        <w:div w:id="751776202">
          <w:marLeft w:val="0"/>
          <w:marRight w:val="0"/>
          <w:marTop w:val="0"/>
          <w:marBottom w:val="0"/>
          <w:divBdr>
            <w:top w:val="none" w:sz="0" w:space="0" w:color="auto"/>
            <w:left w:val="none" w:sz="0" w:space="0" w:color="auto"/>
            <w:bottom w:val="none" w:sz="0" w:space="0" w:color="auto"/>
            <w:right w:val="none" w:sz="0" w:space="0" w:color="auto"/>
          </w:divBdr>
        </w:div>
        <w:div w:id="1623733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xn--80aahgohaihemq6c.xn--p1ai/index.php/borba-s-korruptsiej/metodicheskie-materialy/1258-informatsiya-o-situatsiyakh-konflikta-interes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1245</Words>
  <Characters>7101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Башкеева Анастасия Алексеевна</dc:creator>
  <cp:lastModifiedBy>Server</cp:lastModifiedBy>
  <cp:revision>6</cp:revision>
  <cp:lastPrinted>2023-11-03T06:47:00Z</cp:lastPrinted>
  <dcterms:created xsi:type="dcterms:W3CDTF">2023-11-08T06:54:00Z</dcterms:created>
  <dcterms:modified xsi:type="dcterms:W3CDTF">2023-11-08T11:04:00Z</dcterms:modified>
</cp:coreProperties>
</file>